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D917" w14:textId="55BCCFF3" w:rsidR="004C1D53" w:rsidRPr="00B147EA" w:rsidRDefault="00007D86" w:rsidP="00B147EA">
      <w:pPr>
        <w:pStyle w:val="Default"/>
        <w:spacing w:before="120" w:after="120"/>
        <w:jc w:val="both"/>
        <w:rPr>
          <w:b/>
          <w:color w:val="auto"/>
          <w:szCs w:val="32"/>
        </w:rPr>
      </w:pPr>
      <w:r>
        <w:rPr>
          <w:b/>
          <w:color w:val="auto"/>
          <w:szCs w:val="32"/>
        </w:rPr>
        <w:t>Costo más bajo en 5 años</w:t>
      </w:r>
      <w:r w:rsidR="004C1D53" w:rsidRPr="00B147EA">
        <w:rPr>
          <w:b/>
          <w:color w:val="auto"/>
          <w:szCs w:val="32"/>
        </w:rPr>
        <w:t>:</w:t>
      </w:r>
    </w:p>
    <w:p w14:paraId="5DCA3B91" w14:textId="54835A34" w:rsidR="00F8087A" w:rsidRPr="00B147EA" w:rsidRDefault="00EF5A0A" w:rsidP="00B147EA">
      <w:pPr>
        <w:pStyle w:val="Default"/>
        <w:jc w:val="center"/>
        <w:rPr>
          <w:b/>
          <w:bCs/>
          <w:color w:val="auto"/>
          <w:sz w:val="36"/>
          <w:szCs w:val="28"/>
        </w:rPr>
      </w:pPr>
      <w:r>
        <w:rPr>
          <w:b/>
          <w:bCs/>
          <w:color w:val="auto"/>
          <w:sz w:val="36"/>
          <w:szCs w:val="28"/>
        </w:rPr>
        <w:t>Costo neto de producción</w:t>
      </w:r>
      <w:r w:rsidR="00942BB5">
        <w:rPr>
          <w:b/>
          <w:bCs/>
          <w:color w:val="auto"/>
          <w:sz w:val="36"/>
          <w:szCs w:val="28"/>
        </w:rPr>
        <w:t xml:space="preserve"> </w:t>
      </w:r>
      <w:r w:rsidR="002E2ADB">
        <w:rPr>
          <w:b/>
          <w:bCs/>
          <w:color w:val="auto"/>
          <w:sz w:val="36"/>
          <w:szCs w:val="28"/>
        </w:rPr>
        <w:t xml:space="preserve">de </w:t>
      </w:r>
      <w:r w:rsidR="00773885" w:rsidRPr="00B147EA">
        <w:rPr>
          <w:b/>
          <w:bCs/>
          <w:color w:val="auto"/>
          <w:sz w:val="36"/>
          <w:szCs w:val="28"/>
        </w:rPr>
        <w:t xml:space="preserve">Antofagasta Minerals </w:t>
      </w:r>
    </w:p>
    <w:p w14:paraId="61866165" w14:textId="2F7248D5" w:rsidR="0077354A" w:rsidRDefault="00C366A3" w:rsidP="00B147EA">
      <w:pPr>
        <w:pStyle w:val="Default"/>
        <w:jc w:val="center"/>
        <w:rPr>
          <w:b/>
          <w:bCs/>
          <w:color w:val="auto"/>
          <w:sz w:val="36"/>
          <w:szCs w:val="28"/>
        </w:rPr>
      </w:pPr>
      <w:r>
        <w:rPr>
          <w:b/>
          <w:bCs/>
          <w:color w:val="auto"/>
          <w:sz w:val="36"/>
          <w:szCs w:val="28"/>
        </w:rPr>
        <w:t xml:space="preserve">se </w:t>
      </w:r>
      <w:r w:rsidR="00885B41">
        <w:rPr>
          <w:b/>
          <w:bCs/>
          <w:color w:val="auto"/>
          <w:sz w:val="36"/>
          <w:szCs w:val="28"/>
        </w:rPr>
        <w:t>redujo 27</w:t>
      </w:r>
      <w:r w:rsidR="002E2ADB">
        <w:rPr>
          <w:b/>
          <w:bCs/>
          <w:color w:val="auto"/>
          <w:sz w:val="36"/>
          <w:szCs w:val="28"/>
        </w:rPr>
        <w:t>%</w:t>
      </w:r>
      <w:r w:rsidR="00007D86">
        <w:rPr>
          <w:b/>
          <w:bCs/>
          <w:color w:val="auto"/>
          <w:sz w:val="36"/>
          <w:szCs w:val="28"/>
        </w:rPr>
        <w:t xml:space="preserve"> en 2025</w:t>
      </w:r>
      <w:r w:rsidR="009B3170">
        <w:rPr>
          <w:b/>
          <w:bCs/>
          <w:color w:val="auto"/>
          <w:sz w:val="36"/>
          <w:szCs w:val="28"/>
        </w:rPr>
        <w:t xml:space="preserve"> </w:t>
      </w:r>
      <w:r w:rsidR="00281D0C">
        <w:rPr>
          <w:b/>
          <w:bCs/>
          <w:color w:val="auto"/>
          <w:sz w:val="36"/>
          <w:szCs w:val="28"/>
        </w:rPr>
        <w:t xml:space="preserve">y </w:t>
      </w:r>
      <w:r w:rsidR="009F19A4">
        <w:rPr>
          <w:b/>
          <w:bCs/>
          <w:color w:val="auto"/>
          <w:sz w:val="36"/>
          <w:szCs w:val="28"/>
        </w:rPr>
        <w:t>aument</w:t>
      </w:r>
      <w:r w:rsidR="00281D0C">
        <w:rPr>
          <w:b/>
          <w:bCs/>
          <w:color w:val="auto"/>
          <w:sz w:val="36"/>
          <w:szCs w:val="28"/>
        </w:rPr>
        <w:t>ó</w:t>
      </w:r>
      <w:r w:rsidR="009F19A4">
        <w:rPr>
          <w:b/>
          <w:bCs/>
          <w:color w:val="auto"/>
          <w:sz w:val="36"/>
          <w:szCs w:val="28"/>
        </w:rPr>
        <w:t xml:space="preserve"> la producción de oro y molibdeno</w:t>
      </w:r>
    </w:p>
    <w:p w14:paraId="5057DB4F" w14:textId="77777777" w:rsidR="002707DE" w:rsidRPr="00BD17C5" w:rsidRDefault="002707DE" w:rsidP="00B147EA">
      <w:pPr>
        <w:pStyle w:val="Default"/>
        <w:jc w:val="center"/>
        <w:rPr>
          <w:b/>
          <w:bCs/>
          <w:color w:val="auto"/>
          <w:sz w:val="36"/>
          <w:szCs w:val="28"/>
        </w:rPr>
      </w:pPr>
    </w:p>
    <w:p w14:paraId="2358ECEF" w14:textId="40753399" w:rsidR="002707DE" w:rsidRPr="00BD17C5" w:rsidRDefault="002707DE" w:rsidP="002707DE">
      <w:pPr>
        <w:pStyle w:val="Prrafodelista"/>
        <w:numPr>
          <w:ilvl w:val="0"/>
          <w:numId w:val="4"/>
        </w:numPr>
        <w:spacing w:after="80"/>
        <w:jc w:val="both"/>
        <w:rPr>
          <w:rFonts w:ascii="Calibri" w:hAnsi="Calibri" w:cs="Calibri"/>
          <w:b/>
          <w:bCs/>
          <w:lang w:val="es-CL"/>
        </w:rPr>
      </w:pPr>
      <w:r w:rsidRPr="00BD17C5">
        <w:rPr>
          <w:rFonts w:ascii="Calibri" w:hAnsi="Calibri" w:cs="Calibri"/>
          <w:b/>
          <w:bCs/>
          <w:lang w:val="es-CL"/>
        </w:rPr>
        <w:t xml:space="preserve">El costo neto de caja para producir cobre bajó en un 27% en 2025 comparado con el año anterior, </w:t>
      </w:r>
      <w:r w:rsidR="008F0811">
        <w:rPr>
          <w:rFonts w:ascii="Calibri" w:hAnsi="Calibri" w:cs="Calibri"/>
          <w:b/>
          <w:bCs/>
          <w:lang w:val="es-CL"/>
        </w:rPr>
        <w:t xml:space="preserve">de </w:t>
      </w:r>
      <w:r w:rsidR="000A7035">
        <w:rPr>
          <w:rFonts w:ascii="Calibri" w:hAnsi="Calibri" w:cs="Calibri"/>
          <w:b/>
          <w:bCs/>
          <w:lang w:val="es-CL"/>
        </w:rPr>
        <w:t xml:space="preserve">US$1,64 </w:t>
      </w:r>
      <w:r w:rsidRPr="00BD17C5">
        <w:rPr>
          <w:rFonts w:ascii="Calibri" w:hAnsi="Calibri" w:cs="Calibri"/>
          <w:b/>
          <w:bCs/>
          <w:lang w:val="es-CL"/>
        </w:rPr>
        <w:t>a US$1,19 la libra</w:t>
      </w:r>
      <w:r w:rsidR="008F0811">
        <w:rPr>
          <w:rFonts w:ascii="Calibri" w:hAnsi="Calibri" w:cs="Calibri"/>
          <w:b/>
          <w:bCs/>
          <w:lang w:val="es-CL"/>
        </w:rPr>
        <w:t>. En tanto</w:t>
      </w:r>
      <w:r w:rsidR="00C80299">
        <w:rPr>
          <w:rFonts w:ascii="Calibri" w:hAnsi="Calibri" w:cs="Calibri"/>
          <w:b/>
          <w:bCs/>
          <w:lang w:val="es-CL"/>
        </w:rPr>
        <w:t>,</w:t>
      </w:r>
      <w:r w:rsidRPr="00BD17C5">
        <w:rPr>
          <w:rFonts w:ascii="Calibri" w:hAnsi="Calibri" w:cs="Calibri"/>
          <w:b/>
          <w:bCs/>
          <w:lang w:val="es-CL"/>
        </w:rPr>
        <w:t xml:space="preserve"> la producción de este metal se mantuvo </w:t>
      </w:r>
      <w:r w:rsidR="00C366A3">
        <w:rPr>
          <w:rFonts w:ascii="Calibri" w:hAnsi="Calibri" w:cs="Calibri"/>
          <w:b/>
          <w:bCs/>
          <w:lang w:val="es-CL"/>
        </w:rPr>
        <w:t xml:space="preserve">prácticamente </w:t>
      </w:r>
      <w:r w:rsidR="009F19A4">
        <w:rPr>
          <w:rFonts w:ascii="Calibri" w:hAnsi="Calibri" w:cs="Calibri"/>
          <w:b/>
          <w:bCs/>
          <w:lang w:val="es-CL"/>
        </w:rPr>
        <w:t>estable</w:t>
      </w:r>
      <w:r w:rsidRPr="00BD17C5">
        <w:rPr>
          <w:rFonts w:ascii="Calibri" w:hAnsi="Calibri" w:cs="Calibri"/>
          <w:b/>
          <w:bCs/>
          <w:lang w:val="es-CL"/>
        </w:rPr>
        <w:t>, en 653.700 toneladas de cobre fino</w:t>
      </w:r>
      <w:r w:rsidR="009F19A4">
        <w:rPr>
          <w:rFonts w:ascii="Calibri" w:hAnsi="Calibri" w:cs="Calibri"/>
          <w:b/>
          <w:bCs/>
          <w:lang w:val="es-CL"/>
        </w:rPr>
        <w:t xml:space="preserve">. Por otro lado, la producción de oro y molibdeno aumentaron 13% y 48%, respectivamente. </w:t>
      </w:r>
    </w:p>
    <w:p w14:paraId="6C632116" w14:textId="129790ED" w:rsidR="002707DE" w:rsidRDefault="002707DE" w:rsidP="002707DE">
      <w:pPr>
        <w:pStyle w:val="Prrafodelista"/>
        <w:numPr>
          <w:ilvl w:val="0"/>
          <w:numId w:val="4"/>
        </w:numPr>
        <w:spacing w:after="80"/>
        <w:jc w:val="both"/>
        <w:rPr>
          <w:rFonts w:ascii="Calibri" w:hAnsi="Calibri" w:cs="Calibri"/>
          <w:b/>
          <w:bCs/>
          <w:lang w:val="es-CL"/>
        </w:rPr>
      </w:pPr>
      <w:r w:rsidRPr="002707DE">
        <w:rPr>
          <w:rFonts w:ascii="Calibri" w:hAnsi="Calibri" w:cs="Calibri"/>
          <w:b/>
          <w:bCs/>
          <w:lang w:val="es-CL"/>
        </w:rPr>
        <w:t>“Tuvimos un cuarto trimestre sólido el año pasado, con indicadores de seguridad muy buenos y un aumento en la producción</w:t>
      </w:r>
      <w:r w:rsidR="00F00C0C">
        <w:rPr>
          <w:rFonts w:ascii="Calibri" w:hAnsi="Calibri" w:cs="Calibri"/>
          <w:b/>
          <w:bCs/>
          <w:lang w:val="es-CL"/>
        </w:rPr>
        <w:t xml:space="preserve"> trimestral</w:t>
      </w:r>
      <w:r w:rsidRPr="002707DE">
        <w:rPr>
          <w:rFonts w:ascii="Calibri" w:hAnsi="Calibri" w:cs="Calibri"/>
          <w:b/>
          <w:bCs/>
          <w:lang w:val="es-CL"/>
        </w:rPr>
        <w:t xml:space="preserve"> como resultado de mayor producción en nuestras cuatro operaciones mineras,” señaló Iván Arriagada, </w:t>
      </w:r>
      <w:proofErr w:type="gramStart"/>
      <w:r w:rsidR="00195D81">
        <w:rPr>
          <w:rFonts w:ascii="Calibri" w:hAnsi="Calibri" w:cs="Calibri"/>
          <w:b/>
          <w:bCs/>
          <w:lang w:val="es-CL"/>
        </w:rPr>
        <w:t>P</w:t>
      </w:r>
      <w:r w:rsidRPr="002707DE">
        <w:rPr>
          <w:rFonts w:ascii="Calibri" w:hAnsi="Calibri" w:cs="Calibri"/>
          <w:b/>
          <w:bCs/>
          <w:lang w:val="es-CL"/>
        </w:rPr>
        <w:t xml:space="preserve">residente </w:t>
      </w:r>
      <w:r w:rsidR="00195D81">
        <w:rPr>
          <w:rFonts w:ascii="Calibri" w:hAnsi="Calibri" w:cs="Calibri"/>
          <w:b/>
          <w:bCs/>
          <w:lang w:val="es-CL"/>
        </w:rPr>
        <w:t>E</w:t>
      </w:r>
      <w:r w:rsidRPr="002707DE">
        <w:rPr>
          <w:rFonts w:ascii="Calibri" w:hAnsi="Calibri" w:cs="Calibri"/>
          <w:b/>
          <w:bCs/>
          <w:lang w:val="es-CL"/>
        </w:rPr>
        <w:t>jecutivo</w:t>
      </w:r>
      <w:proofErr w:type="gramEnd"/>
      <w:r w:rsidRPr="002707DE">
        <w:rPr>
          <w:rFonts w:ascii="Calibri" w:hAnsi="Calibri" w:cs="Calibri"/>
          <w:b/>
          <w:bCs/>
          <w:lang w:val="es-CL"/>
        </w:rPr>
        <w:t xml:space="preserve"> de Antofagasta Minerals. </w:t>
      </w:r>
    </w:p>
    <w:p w14:paraId="03F79788" w14:textId="4BBFB5FC" w:rsidR="009A3A7F" w:rsidRPr="00055423" w:rsidRDefault="009A3A7F" w:rsidP="00055423">
      <w:pPr>
        <w:pStyle w:val="Prrafodelista"/>
        <w:numPr>
          <w:ilvl w:val="0"/>
          <w:numId w:val="4"/>
        </w:numPr>
        <w:spacing w:after="80"/>
        <w:jc w:val="both"/>
        <w:rPr>
          <w:rFonts w:ascii="Calibri" w:hAnsi="Calibri" w:cs="Calibri"/>
          <w:b/>
          <w:bCs/>
          <w:lang w:val="es-CL"/>
        </w:rPr>
      </w:pPr>
      <w:r w:rsidRPr="00055423">
        <w:rPr>
          <w:rFonts w:ascii="Calibri" w:hAnsi="Calibri" w:cs="Calibri"/>
          <w:b/>
          <w:bCs/>
          <w:lang w:val="es-CL"/>
        </w:rPr>
        <w:t>La inversión planificada para el 2026 es de US$3.400 millones</w:t>
      </w:r>
      <w:r w:rsidR="00A42FD4">
        <w:rPr>
          <w:rFonts w:ascii="Calibri" w:hAnsi="Calibri" w:cs="Calibri"/>
          <w:b/>
          <w:bCs/>
          <w:lang w:val="es-CL"/>
        </w:rPr>
        <w:t>.</w:t>
      </w:r>
      <w:r w:rsidRPr="00055423">
        <w:rPr>
          <w:rFonts w:ascii="Calibri" w:hAnsi="Calibri" w:cs="Calibri"/>
          <w:b/>
          <w:bCs/>
          <w:lang w:val="es-CL"/>
        </w:rPr>
        <w:t xml:space="preserve"> “</w:t>
      </w:r>
      <w:r w:rsidR="00A42FD4">
        <w:rPr>
          <w:rFonts w:ascii="Calibri" w:hAnsi="Calibri" w:cs="Calibri"/>
          <w:b/>
          <w:bCs/>
          <w:lang w:val="es-CL"/>
        </w:rPr>
        <w:t>Esto</w:t>
      </w:r>
      <w:r w:rsidR="00FA18C6">
        <w:rPr>
          <w:rFonts w:ascii="Calibri" w:hAnsi="Calibri" w:cs="Calibri"/>
          <w:b/>
          <w:bCs/>
          <w:lang w:val="es-CL"/>
        </w:rPr>
        <w:t xml:space="preserve"> </w:t>
      </w:r>
      <w:r w:rsidRPr="00055423">
        <w:rPr>
          <w:rFonts w:ascii="Calibri" w:hAnsi="Calibri" w:cs="Calibri"/>
          <w:b/>
          <w:bCs/>
          <w:lang w:val="es-CL"/>
        </w:rPr>
        <w:t>reflej</w:t>
      </w:r>
      <w:r w:rsidR="00FA18C6">
        <w:rPr>
          <w:rFonts w:ascii="Calibri" w:hAnsi="Calibri" w:cs="Calibri"/>
          <w:b/>
          <w:bCs/>
          <w:lang w:val="es-CL"/>
        </w:rPr>
        <w:t>a</w:t>
      </w:r>
      <w:r w:rsidRPr="00055423">
        <w:rPr>
          <w:rFonts w:ascii="Calibri" w:hAnsi="Calibri" w:cs="Calibri"/>
          <w:b/>
          <w:bCs/>
          <w:lang w:val="es-CL"/>
        </w:rPr>
        <w:t xml:space="preserve"> las actividades en los proyectos de crecimiento en Minera Centinela y Los Pelambres, así como una mayor actividad para desarrollar el rajo Encuentro Sulfuro</w:t>
      </w:r>
      <w:r w:rsidR="00E07F02">
        <w:rPr>
          <w:rFonts w:ascii="Calibri" w:hAnsi="Calibri" w:cs="Calibri"/>
          <w:b/>
          <w:bCs/>
          <w:lang w:val="es-CL"/>
        </w:rPr>
        <w:t>s</w:t>
      </w:r>
      <w:r w:rsidRPr="00055423">
        <w:rPr>
          <w:rFonts w:ascii="Calibri" w:hAnsi="Calibri" w:cs="Calibri"/>
          <w:b/>
          <w:bCs/>
          <w:lang w:val="es-CL"/>
        </w:rPr>
        <w:t>, en Centinela”, señaló el máximo ejecutivo</w:t>
      </w:r>
      <w:r w:rsidR="00055423">
        <w:rPr>
          <w:rFonts w:ascii="Calibri" w:hAnsi="Calibri" w:cs="Calibri"/>
          <w:b/>
          <w:bCs/>
          <w:lang w:val="es-CL"/>
        </w:rPr>
        <w:t>.</w:t>
      </w:r>
    </w:p>
    <w:p w14:paraId="1A858668" w14:textId="77777777" w:rsidR="00290EE2" w:rsidRDefault="00290EE2" w:rsidP="00ED332C">
      <w:pPr>
        <w:pStyle w:val="Default"/>
        <w:pBdr>
          <w:bottom w:val="single" w:sz="4" w:space="1" w:color="auto"/>
        </w:pBdr>
        <w:spacing w:before="120" w:after="120"/>
        <w:jc w:val="right"/>
        <w:rPr>
          <w:color w:val="auto"/>
        </w:rPr>
      </w:pPr>
    </w:p>
    <w:p w14:paraId="1AB49B74" w14:textId="329508F6" w:rsidR="00CB248C" w:rsidRPr="00290EE2" w:rsidRDefault="005E1D5B" w:rsidP="00ED332C">
      <w:pPr>
        <w:pStyle w:val="Default"/>
        <w:pBdr>
          <w:bottom w:val="single" w:sz="4" w:space="1" w:color="auto"/>
        </w:pBdr>
        <w:spacing w:before="120" w:after="120"/>
        <w:jc w:val="right"/>
        <w:rPr>
          <w:color w:val="auto"/>
        </w:rPr>
      </w:pPr>
      <w:r w:rsidRPr="00290EE2">
        <w:rPr>
          <w:color w:val="auto"/>
        </w:rPr>
        <w:t>S</w:t>
      </w:r>
      <w:r w:rsidR="003308C7" w:rsidRPr="00290EE2">
        <w:rPr>
          <w:color w:val="auto"/>
        </w:rPr>
        <w:t xml:space="preserve">antiago, </w:t>
      </w:r>
      <w:r w:rsidR="00524F42" w:rsidRPr="00290EE2">
        <w:rPr>
          <w:color w:val="auto"/>
        </w:rPr>
        <w:t>29</w:t>
      </w:r>
      <w:r w:rsidR="00B30E6E" w:rsidRPr="00290EE2">
        <w:rPr>
          <w:color w:val="auto"/>
        </w:rPr>
        <w:t xml:space="preserve"> de </w:t>
      </w:r>
      <w:r w:rsidR="007A259B" w:rsidRPr="00290EE2">
        <w:rPr>
          <w:color w:val="auto"/>
        </w:rPr>
        <w:t>enero</w:t>
      </w:r>
      <w:r w:rsidR="003308C7" w:rsidRPr="00290EE2">
        <w:rPr>
          <w:color w:val="auto"/>
        </w:rPr>
        <w:t xml:space="preserve"> de 20</w:t>
      </w:r>
      <w:r w:rsidR="004E4294" w:rsidRPr="00290EE2">
        <w:rPr>
          <w:color w:val="auto"/>
        </w:rPr>
        <w:t>2</w:t>
      </w:r>
      <w:r w:rsidR="00524F42" w:rsidRPr="00290EE2">
        <w:rPr>
          <w:color w:val="auto"/>
        </w:rPr>
        <w:t>6</w:t>
      </w:r>
    </w:p>
    <w:p w14:paraId="26A58D8E" w14:textId="3508855A" w:rsidR="00007D86" w:rsidRDefault="0077354A" w:rsidP="00B147EA">
      <w:pPr>
        <w:spacing w:after="80"/>
        <w:jc w:val="both"/>
        <w:rPr>
          <w:rFonts w:ascii="Calibri" w:hAnsi="Calibri" w:cs="Calibri"/>
          <w:lang w:val="es-CL"/>
        </w:rPr>
      </w:pPr>
      <w:r w:rsidRPr="00B147EA">
        <w:rPr>
          <w:rFonts w:ascii="Calibri" w:hAnsi="Calibri" w:cs="Calibri"/>
          <w:lang w:val="es-CL"/>
        </w:rPr>
        <w:t xml:space="preserve">Antofagasta Minerals </w:t>
      </w:r>
      <w:r w:rsidR="00F8087A" w:rsidRPr="00B147EA">
        <w:rPr>
          <w:rFonts w:ascii="Calibri" w:hAnsi="Calibri" w:cs="Calibri"/>
          <w:lang w:val="es-CL"/>
        </w:rPr>
        <w:t xml:space="preserve">informó hoy </w:t>
      </w:r>
      <w:r w:rsidR="007E5443">
        <w:rPr>
          <w:rFonts w:ascii="Calibri" w:hAnsi="Calibri" w:cs="Calibri"/>
          <w:lang w:val="es-CL"/>
        </w:rPr>
        <w:t xml:space="preserve">que </w:t>
      </w:r>
      <w:r w:rsidR="00007D86">
        <w:rPr>
          <w:rFonts w:ascii="Calibri" w:hAnsi="Calibri" w:cs="Calibri"/>
          <w:lang w:val="es-CL"/>
        </w:rPr>
        <w:t xml:space="preserve">su costo neto de </w:t>
      </w:r>
      <w:r w:rsidR="002707DE">
        <w:rPr>
          <w:rFonts w:ascii="Calibri" w:hAnsi="Calibri" w:cs="Calibri"/>
          <w:lang w:val="es-CL"/>
        </w:rPr>
        <w:t>caja para</w:t>
      </w:r>
      <w:r w:rsidR="00007D86">
        <w:rPr>
          <w:rFonts w:ascii="Calibri" w:hAnsi="Calibri" w:cs="Calibri"/>
          <w:lang w:val="es-CL"/>
        </w:rPr>
        <w:t xml:space="preserve"> </w:t>
      </w:r>
      <w:r w:rsidR="002707DE">
        <w:rPr>
          <w:rFonts w:ascii="Calibri" w:hAnsi="Calibri" w:cs="Calibri"/>
          <w:lang w:val="es-CL"/>
        </w:rPr>
        <w:t>producir</w:t>
      </w:r>
      <w:r w:rsidR="00D656E9">
        <w:rPr>
          <w:rFonts w:ascii="Calibri" w:hAnsi="Calibri" w:cs="Calibri"/>
          <w:lang w:val="es-CL"/>
        </w:rPr>
        <w:t xml:space="preserve"> cobre </w:t>
      </w:r>
      <w:r w:rsidR="00007D86">
        <w:rPr>
          <w:rFonts w:ascii="Calibri" w:hAnsi="Calibri" w:cs="Calibri"/>
          <w:lang w:val="es-CL"/>
        </w:rPr>
        <w:t>bajó en un 27% en 2025, comparado c</w:t>
      </w:r>
      <w:r w:rsidR="00D656E9">
        <w:rPr>
          <w:rFonts w:ascii="Calibri" w:hAnsi="Calibri" w:cs="Calibri"/>
          <w:lang w:val="es-CL"/>
        </w:rPr>
        <w:t>o</w:t>
      </w:r>
      <w:r w:rsidR="00007D86">
        <w:rPr>
          <w:rFonts w:ascii="Calibri" w:hAnsi="Calibri" w:cs="Calibri"/>
          <w:lang w:val="es-CL"/>
        </w:rPr>
        <w:t xml:space="preserve">n el año anterior, </w:t>
      </w:r>
      <w:r w:rsidR="00195D81" w:rsidRPr="00195D81">
        <w:rPr>
          <w:rFonts w:ascii="Calibri" w:hAnsi="Calibri" w:cs="Calibri"/>
          <w:lang w:val="es-CL"/>
        </w:rPr>
        <w:t xml:space="preserve">de US$1,64 </w:t>
      </w:r>
      <w:r w:rsidR="00007D86" w:rsidRPr="00195D81">
        <w:rPr>
          <w:rFonts w:ascii="Calibri" w:hAnsi="Calibri" w:cs="Calibri"/>
          <w:lang w:val="es-CL"/>
        </w:rPr>
        <w:t>a</w:t>
      </w:r>
      <w:r w:rsidR="00007D86">
        <w:rPr>
          <w:rFonts w:ascii="Calibri" w:hAnsi="Calibri" w:cs="Calibri"/>
          <w:lang w:val="es-CL"/>
        </w:rPr>
        <w:t xml:space="preserve"> US$1</w:t>
      </w:r>
      <w:r w:rsidR="00D656E9">
        <w:rPr>
          <w:rFonts w:ascii="Calibri" w:hAnsi="Calibri" w:cs="Calibri"/>
          <w:lang w:val="es-CL"/>
        </w:rPr>
        <w:t xml:space="preserve">,19 la </w:t>
      </w:r>
      <w:r w:rsidR="00195D81">
        <w:rPr>
          <w:rFonts w:ascii="Calibri" w:hAnsi="Calibri" w:cs="Calibri"/>
          <w:lang w:val="es-CL"/>
        </w:rPr>
        <w:t xml:space="preserve">libra. </w:t>
      </w:r>
      <w:r w:rsidR="00C80299">
        <w:rPr>
          <w:rFonts w:ascii="Calibri" w:hAnsi="Calibri" w:cs="Calibri"/>
          <w:lang w:val="es-CL"/>
        </w:rPr>
        <w:t>En tanto</w:t>
      </w:r>
      <w:r w:rsidR="00E57338">
        <w:rPr>
          <w:rFonts w:ascii="Calibri" w:hAnsi="Calibri" w:cs="Calibri"/>
          <w:lang w:val="es-CL"/>
        </w:rPr>
        <w:t>,</w:t>
      </w:r>
      <w:r w:rsidR="00C80299">
        <w:rPr>
          <w:rFonts w:ascii="Calibri" w:hAnsi="Calibri" w:cs="Calibri"/>
          <w:lang w:val="es-CL"/>
        </w:rPr>
        <w:t xml:space="preserve"> l</w:t>
      </w:r>
      <w:r w:rsidR="002707DE">
        <w:rPr>
          <w:rFonts w:ascii="Calibri" w:hAnsi="Calibri" w:cs="Calibri"/>
          <w:lang w:val="es-CL"/>
        </w:rPr>
        <w:t>a</w:t>
      </w:r>
      <w:r w:rsidR="00D656E9">
        <w:rPr>
          <w:rFonts w:ascii="Calibri" w:hAnsi="Calibri" w:cs="Calibri"/>
          <w:lang w:val="es-CL"/>
        </w:rPr>
        <w:t xml:space="preserve"> producción de este metal </w:t>
      </w:r>
      <w:r w:rsidR="009F19A4">
        <w:rPr>
          <w:rFonts w:ascii="Calibri" w:hAnsi="Calibri" w:cs="Calibri"/>
          <w:lang w:val="es-CL"/>
        </w:rPr>
        <w:t xml:space="preserve">tuvo una variación menor </w:t>
      </w:r>
      <w:r w:rsidR="00AC5632">
        <w:rPr>
          <w:rFonts w:ascii="Calibri" w:hAnsi="Calibri" w:cs="Calibri"/>
          <w:lang w:val="es-CL"/>
        </w:rPr>
        <w:t>alcanzando 653.700</w:t>
      </w:r>
      <w:r w:rsidR="003733EE">
        <w:rPr>
          <w:rFonts w:ascii="Calibri" w:hAnsi="Calibri" w:cs="Calibri"/>
          <w:lang w:val="es-CL"/>
        </w:rPr>
        <w:t xml:space="preserve"> toneladas de cobre fino</w:t>
      </w:r>
      <w:r w:rsidR="00AD492B">
        <w:rPr>
          <w:rFonts w:ascii="Calibri" w:hAnsi="Calibri" w:cs="Calibri"/>
          <w:lang w:val="es-CL"/>
        </w:rPr>
        <w:t>, a</w:t>
      </w:r>
      <w:r w:rsidR="00A57F67">
        <w:rPr>
          <w:rFonts w:ascii="Calibri" w:hAnsi="Calibri" w:cs="Calibri"/>
          <w:lang w:val="es-CL"/>
        </w:rPr>
        <w:t>umentando el último trimestre en un 9%</w:t>
      </w:r>
      <w:r w:rsidR="00AD492B">
        <w:rPr>
          <w:rFonts w:ascii="Calibri" w:hAnsi="Calibri" w:cs="Calibri"/>
          <w:lang w:val="es-CL"/>
        </w:rPr>
        <w:t xml:space="preserve">, </w:t>
      </w:r>
      <w:r w:rsidR="00A57F67">
        <w:rPr>
          <w:rFonts w:ascii="Calibri" w:hAnsi="Calibri" w:cs="Calibri"/>
          <w:lang w:val="es-CL"/>
        </w:rPr>
        <w:t>equivalente</w:t>
      </w:r>
      <w:r w:rsidR="00AD492B">
        <w:rPr>
          <w:rFonts w:ascii="Calibri" w:hAnsi="Calibri" w:cs="Calibri"/>
          <w:lang w:val="es-CL"/>
        </w:rPr>
        <w:t xml:space="preserve"> </w:t>
      </w:r>
      <w:r w:rsidR="00A73187">
        <w:rPr>
          <w:rFonts w:ascii="Calibri" w:hAnsi="Calibri" w:cs="Calibri"/>
          <w:lang w:val="es-CL"/>
        </w:rPr>
        <w:t xml:space="preserve">a 177.000 toneladas. </w:t>
      </w:r>
      <w:r w:rsidR="009F19A4" w:rsidRPr="00AC5632">
        <w:rPr>
          <w:rFonts w:ascii="Calibri" w:hAnsi="Calibri" w:cs="Calibri"/>
          <w:lang w:val="es-CL"/>
        </w:rPr>
        <w:t>Por otro lado, la producción de oro y molibdeno aumentaron 13% y 48% comparado con el año anterior</w:t>
      </w:r>
      <w:r w:rsidR="00596EA6">
        <w:rPr>
          <w:rFonts w:ascii="Calibri" w:hAnsi="Calibri" w:cs="Calibri"/>
          <w:lang w:val="es-CL"/>
        </w:rPr>
        <w:t>,</w:t>
      </w:r>
      <w:r w:rsidR="009F19A4" w:rsidRPr="00AC5632">
        <w:rPr>
          <w:rFonts w:ascii="Calibri" w:hAnsi="Calibri" w:cs="Calibri"/>
          <w:lang w:val="es-CL"/>
        </w:rPr>
        <w:t xml:space="preserve"> respectivamente.</w:t>
      </w:r>
    </w:p>
    <w:p w14:paraId="1434867B" w14:textId="5B5120ED" w:rsidR="00A73187" w:rsidRDefault="00A73187" w:rsidP="00B147EA">
      <w:pPr>
        <w:spacing w:after="80"/>
        <w:jc w:val="both"/>
        <w:rPr>
          <w:rFonts w:ascii="Calibri" w:hAnsi="Calibri" w:cs="Calibri"/>
          <w:lang w:val="es-CL"/>
        </w:rPr>
      </w:pPr>
      <w:r>
        <w:rPr>
          <w:rFonts w:ascii="Calibri" w:hAnsi="Calibri" w:cs="Calibri"/>
          <w:lang w:val="es-CL"/>
        </w:rPr>
        <w:t xml:space="preserve">“Tuvimos un cuarto trimestre </w:t>
      </w:r>
      <w:r w:rsidR="0084073B">
        <w:rPr>
          <w:rFonts w:ascii="Calibri" w:hAnsi="Calibri" w:cs="Calibri"/>
          <w:lang w:val="es-CL"/>
        </w:rPr>
        <w:t xml:space="preserve">sólido </w:t>
      </w:r>
      <w:r>
        <w:rPr>
          <w:rFonts w:ascii="Calibri" w:hAnsi="Calibri" w:cs="Calibri"/>
          <w:lang w:val="es-CL"/>
        </w:rPr>
        <w:t>el año pasado</w:t>
      </w:r>
      <w:r w:rsidR="0084073B">
        <w:rPr>
          <w:rFonts w:ascii="Calibri" w:hAnsi="Calibri" w:cs="Calibri"/>
          <w:lang w:val="es-CL"/>
        </w:rPr>
        <w:t>,</w:t>
      </w:r>
      <w:r>
        <w:rPr>
          <w:rFonts w:ascii="Calibri" w:hAnsi="Calibri" w:cs="Calibri"/>
          <w:lang w:val="es-CL"/>
        </w:rPr>
        <w:t xml:space="preserve"> con </w:t>
      </w:r>
      <w:r w:rsidR="0094527F">
        <w:rPr>
          <w:rFonts w:ascii="Calibri" w:hAnsi="Calibri" w:cs="Calibri"/>
          <w:lang w:val="es-CL"/>
        </w:rPr>
        <w:t xml:space="preserve">indicadores de seguridad </w:t>
      </w:r>
      <w:r w:rsidR="0084073B">
        <w:rPr>
          <w:rFonts w:ascii="Calibri" w:hAnsi="Calibri" w:cs="Calibri"/>
          <w:lang w:val="es-CL"/>
        </w:rPr>
        <w:t>muy buenos y un aumento en la producción</w:t>
      </w:r>
      <w:r w:rsidR="00926E99">
        <w:rPr>
          <w:rFonts w:ascii="Calibri" w:hAnsi="Calibri" w:cs="Calibri"/>
          <w:lang w:val="es-CL"/>
        </w:rPr>
        <w:t xml:space="preserve"> trimestral</w:t>
      </w:r>
      <w:r w:rsidR="0084073B">
        <w:rPr>
          <w:rFonts w:ascii="Calibri" w:hAnsi="Calibri" w:cs="Calibri"/>
          <w:lang w:val="es-CL"/>
        </w:rPr>
        <w:t xml:space="preserve"> como resultado de mayor producción</w:t>
      </w:r>
      <w:r w:rsidR="00C97166">
        <w:rPr>
          <w:rFonts w:ascii="Calibri" w:hAnsi="Calibri" w:cs="Calibri"/>
          <w:lang w:val="es-CL"/>
        </w:rPr>
        <w:t xml:space="preserve"> en nuestras cuatro operaciones mineras,” señaló Iván Arriagada, </w:t>
      </w:r>
      <w:proofErr w:type="gramStart"/>
      <w:r w:rsidR="003F6B7F">
        <w:rPr>
          <w:rFonts w:ascii="Calibri" w:hAnsi="Calibri" w:cs="Calibri"/>
          <w:lang w:val="es-CL"/>
        </w:rPr>
        <w:t>P</w:t>
      </w:r>
      <w:r w:rsidR="00C97166">
        <w:rPr>
          <w:rFonts w:ascii="Calibri" w:hAnsi="Calibri" w:cs="Calibri"/>
          <w:lang w:val="es-CL"/>
        </w:rPr>
        <w:t xml:space="preserve">residente </w:t>
      </w:r>
      <w:r w:rsidR="003F6B7F">
        <w:rPr>
          <w:rFonts w:ascii="Calibri" w:hAnsi="Calibri" w:cs="Calibri"/>
          <w:lang w:val="es-CL"/>
        </w:rPr>
        <w:t>E</w:t>
      </w:r>
      <w:r w:rsidR="00C97166">
        <w:rPr>
          <w:rFonts w:ascii="Calibri" w:hAnsi="Calibri" w:cs="Calibri"/>
          <w:lang w:val="es-CL"/>
        </w:rPr>
        <w:t>jecutivo</w:t>
      </w:r>
      <w:proofErr w:type="gramEnd"/>
      <w:r w:rsidR="00C97166">
        <w:rPr>
          <w:rFonts w:ascii="Calibri" w:hAnsi="Calibri" w:cs="Calibri"/>
          <w:lang w:val="es-CL"/>
        </w:rPr>
        <w:t xml:space="preserve"> de Antofagasta Minerals. </w:t>
      </w:r>
    </w:p>
    <w:p w14:paraId="57E01144" w14:textId="2C43EF2F" w:rsidR="00C97166" w:rsidRDefault="003F6B7F" w:rsidP="00B147EA">
      <w:pPr>
        <w:spacing w:after="80"/>
        <w:jc w:val="both"/>
        <w:rPr>
          <w:rFonts w:ascii="Calibri" w:hAnsi="Calibri" w:cs="Calibri"/>
          <w:lang w:val="es-CL"/>
        </w:rPr>
      </w:pPr>
      <w:r>
        <w:rPr>
          <w:rFonts w:ascii="Calibri" w:hAnsi="Calibri" w:cs="Calibri"/>
          <w:lang w:val="es-CL"/>
        </w:rPr>
        <w:t>Frente</w:t>
      </w:r>
      <w:r w:rsidR="00C97166">
        <w:rPr>
          <w:rFonts w:ascii="Calibri" w:hAnsi="Calibri" w:cs="Calibri"/>
          <w:lang w:val="es-CL"/>
        </w:rPr>
        <w:t xml:space="preserve"> a la reducción de</w:t>
      </w:r>
      <w:r w:rsidR="00814554">
        <w:rPr>
          <w:rFonts w:ascii="Calibri" w:hAnsi="Calibri" w:cs="Calibri"/>
          <w:lang w:val="es-CL"/>
        </w:rPr>
        <w:t xml:space="preserve"> costos, el ejecutivo indicó q</w:t>
      </w:r>
      <w:r w:rsidR="00406E95">
        <w:rPr>
          <w:rFonts w:ascii="Calibri" w:hAnsi="Calibri" w:cs="Calibri"/>
          <w:lang w:val="es-CL"/>
        </w:rPr>
        <w:t>ue</w:t>
      </w:r>
      <w:r w:rsidR="00814554">
        <w:rPr>
          <w:rFonts w:ascii="Calibri" w:hAnsi="Calibri" w:cs="Calibri"/>
          <w:lang w:val="es-CL"/>
        </w:rPr>
        <w:t xml:space="preserve"> “nuestra </w:t>
      </w:r>
      <w:r w:rsidR="00E61BFF">
        <w:rPr>
          <w:rFonts w:ascii="Calibri" w:hAnsi="Calibri" w:cs="Calibri"/>
          <w:lang w:val="es-CL"/>
        </w:rPr>
        <w:t xml:space="preserve">continua disciplina en cuanto a los costos de caja y los fuertes ingresos </w:t>
      </w:r>
      <w:r w:rsidR="00F66154">
        <w:rPr>
          <w:rFonts w:ascii="Calibri" w:hAnsi="Calibri" w:cs="Calibri"/>
          <w:lang w:val="es-CL"/>
        </w:rPr>
        <w:t>por la venta de subproductos contribuy</w:t>
      </w:r>
      <w:r w:rsidR="00926E99">
        <w:rPr>
          <w:rFonts w:ascii="Calibri" w:hAnsi="Calibri" w:cs="Calibri"/>
          <w:lang w:val="es-CL"/>
        </w:rPr>
        <w:t>eron</w:t>
      </w:r>
      <w:r w:rsidR="00F66154">
        <w:rPr>
          <w:rFonts w:ascii="Calibri" w:hAnsi="Calibri" w:cs="Calibri"/>
          <w:lang w:val="es-CL"/>
        </w:rPr>
        <w:t xml:space="preserve"> a que el costo neto de caja </w:t>
      </w:r>
      <w:r w:rsidR="007E5443">
        <w:rPr>
          <w:rFonts w:ascii="Calibri" w:hAnsi="Calibri" w:cs="Calibri"/>
          <w:lang w:val="es-CL"/>
        </w:rPr>
        <w:t xml:space="preserve">disminuyera a un mínimo </w:t>
      </w:r>
      <w:r>
        <w:rPr>
          <w:rFonts w:ascii="Calibri" w:hAnsi="Calibri" w:cs="Calibri"/>
          <w:lang w:val="es-CL"/>
        </w:rPr>
        <w:t>en</w:t>
      </w:r>
      <w:r w:rsidR="007E5443">
        <w:rPr>
          <w:rFonts w:ascii="Calibri" w:hAnsi="Calibri" w:cs="Calibri"/>
          <w:lang w:val="es-CL"/>
        </w:rPr>
        <w:t xml:space="preserve"> cinco años.”</w:t>
      </w:r>
    </w:p>
    <w:p w14:paraId="391E4E67" w14:textId="1926EE3A" w:rsidR="004E7D33" w:rsidRDefault="004E7D33" w:rsidP="00B147EA">
      <w:pPr>
        <w:spacing w:after="80"/>
        <w:jc w:val="both"/>
        <w:rPr>
          <w:rFonts w:ascii="Calibri" w:hAnsi="Calibri" w:cs="Calibri"/>
          <w:lang w:val="es-CL"/>
        </w:rPr>
      </w:pPr>
      <w:r>
        <w:rPr>
          <w:rFonts w:ascii="Calibri" w:hAnsi="Calibri" w:cs="Calibri"/>
          <w:lang w:val="es-CL"/>
        </w:rPr>
        <w:t xml:space="preserve">Con respecto a los proyectos de crecimiento con los que el Grupo Minero busca aumentar su producción hacia fines de esta década, el máximo ejecutivo comentó que </w:t>
      </w:r>
      <w:r w:rsidR="0090246B">
        <w:rPr>
          <w:rFonts w:ascii="Calibri" w:hAnsi="Calibri" w:cs="Calibri"/>
          <w:lang w:val="es-CL"/>
        </w:rPr>
        <w:t>se ajustan a cro</w:t>
      </w:r>
      <w:r w:rsidR="00110906">
        <w:rPr>
          <w:rFonts w:ascii="Calibri" w:hAnsi="Calibri" w:cs="Calibri"/>
          <w:lang w:val="es-CL"/>
        </w:rPr>
        <w:t>nogramas y presupuestos.</w:t>
      </w:r>
    </w:p>
    <w:p w14:paraId="5186C196" w14:textId="2488DE63" w:rsidR="00110906" w:rsidRDefault="00110906" w:rsidP="00B147EA">
      <w:pPr>
        <w:spacing w:after="80"/>
        <w:jc w:val="both"/>
        <w:rPr>
          <w:rFonts w:ascii="Calibri" w:hAnsi="Calibri" w:cs="Calibri"/>
          <w:lang w:val="es-CL"/>
        </w:rPr>
      </w:pPr>
      <w:r>
        <w:rPr>
          <w:rFonts w:ascii="Calibri" w:hAnsi="Calibri" w:cs="Calibri"/>
          <w:lang w:val="es-CL"/>
        </w:rPr>
        <w:t>“Seguimos avanzando en la construcción de los proyectos tanto en Minera Centinela como en Minera Los Pelambres</w:t>
      </w:r>
      <w:r w:rsidR="00140254">
        <w:rPr>
          <w:rFonts w:ascii="Calibri" w:hAnsi="Calibri" w:cs="Calibri"/>
          <w:lang w:val="es-CL"/>
        </w:rPr>
        <w:t>. En no</w:t>
      </w:r>
      <w:r>
        <w:rPr>
          <w:rFonts w:ascii="Calibri" w:hAnsi="Calibri" w:cs="Calibri"/>
          <w:lang w:val="es-CL"/>
        </w:rPr>
        <w:t xml:space="preserve">viembre pudimos evidenciar </w:t>
      </w:r>
      <w:r w:rsidR="000A682B">
        <w:rPr>
          <w:rFonts w:ascii="Calibri" w:hAnsi="Calibri" w:cs="Calibri"/>
          <w:lang w:val="es-CL"/>
        </w:rPr>
        <w:t>el progreso que se ha realizado a la fecha</w:t>
      </w:r>
      <w:r w:rsidR="00140254">
        <w:rPr>
          <w:rFonts w:ascii="Calibri" w:hAnsi="Calibri" w:cs="Calibri"/>
          <w:lang w:val="es-CL"/>
        </w:rPr>
        <w:t xml:space="preserve"> con </w:t>
      </w:r>
      <w:r w:rsidR="0090246B">
        <w:rPr>
          <w:rFonts w:ascii="Calibri" w:hAnsi="Calibri" w:cs="Calibri"/>
          <w:lang w:val="es-CL"/>
        </w:rPr>
        <w:t>la visita</w:t>
      </w:r>
      <w:r w:rsidR="000A682B">
        <w:rPr>
          <w:rFonts w:ascii="Calibri" w:hAnsi="Calibri" w:cs="Calibri"/>
          <w:lang w:val="es-CL"/>
        </w:rPr>
        <w:t xml:space="preserve"> de un grupo de inversionistas y analistas al proyecto Nueva Centinela, el que incluye una segunda planta </w:t>
      </w:r>
      <w:r w:rsidR="000A682B">
        <w:rPr>
          <w:rFonts w:ascii="Calibri" w:hAnsi="Calibri" w:cs="Calibri"/>
          <w:lang w:val="es-CL"/>
        </w:rPr>
        <w:lastRenderedPageBreak/>
        <w:t>concentradora para aumentar la producción en Centinel</w:t>
      </w:r>
      <w:r w:rsidR="00C9320E">
        <w:rPr>
          <w:rFonts w:ascii="Calibri" w:hAnsi="Calibri" w:cs="Calibri"/>
          <w:lang w:val="es-CL"/>
        </w:rPr>
        <w:t xml:space="preserve">a </w:t>
      </w:r>
      <w:r w:rsidR="00194604">
        <w:rPr>
          <w:rFonts w:ascii="Calibri" w:hAnsi="Calibri" w:cs="Calibri"/>
          <w:lang w:val="es-CL"/>
        </w:rPr>
        <w:t>una vez que entre en operación</w:t>
      </w:r>
      <w:r w:rsidR="00670B2B">
        <w:rPr>
          <w:rFonts w:ascii="Calibri" w:hAnsi="Calibri" w:cs="Calibri"/>
          <w:lang w:val="es-CL"/>
        </w:rPr>
        <w:t>, el</w:t>
      </w:r>
      <w:r w:rsidR="00194604">
        <w:rPr>
          <w:rFonts w:ascii="Calibri" w:hAnsi="Calibri" w:cs="Calibri"/>
          <w:lang w:val="es-CL"/>
        </w:rPr>
        <w:t xml:space="preserve"> 2027</w:t>
      </w:r>
      <w:r w:rsidR="00C9320E">
        <w:rPr>
          <w:rFonts w:ascii="Calibri" w:hAnsi="Calibri" w:cs="Calibri"/>
          <w:lang w:val="es-CL"/>
        </w:rPr>
        <w:t xml:space="preserve">,” </w:t>
      </w:r>
      <w:r w:rsidR="0090246B">
        <w:rPr>
          <w:rFonts w:ascii="Calibri" w:hAnsi="Calibri" w:cs="Calibri"/>
          <w:lang w:val="es-CL"/>
        </w:rPr>
        <w:t>señaló</w:t>
      </w:r>
      <w:r w:rsidR="00C9320E">
        <w:rPr>
          <w:rFonts w:ascii="Calibri" w:hAnsi="Calibri" w:cs="Calibri"/>
          <w:lang w:val="es-CL"/>
        </w:rPr>
        <w:t xml:space="preserve">. </w:t>
      </w:r>
    </w:p>
    <w:p w14:paraId="288A112E" w14:textId="6DDE1371" w:rsidR="00C97378" w:rsidRDefault="00C97378" w:rsidP="00B147EA">
      <w:pPr>
        <w:spacing w:after="80"/>
        <w:jc w:val="both"/>
        <w:rPr>
          <w:rFonts w:ascii="Calibri" w:hAnsi="Calibri" w:cs="Calibri"/>
          <w:lang w:val="es-CL"/>
        </w:rPr>
      </w:pPr>
      <w:r w:rsidRPr="00C97378">
        <w:rPr>
          <w:rFonts w:ascii="Calibri" w:hAnsi="Calibri" w:cs="Calibri"/>
          <w:lang w:val="es-CL"/>
        </w:rPr>
        <w:t>Pa</w:t>
      </w:r>
      <w:r w:rsidR="0090246B">
        <w:rPr>
          <w:rFonts w:ascii="Calibri" w:hAnsi="Calibri" w:cs="Calibri"/>
          <w:lang w:val="es-CL"/>
        </w:rPr>
        <w:t>ra</w:t>
      </w:r>
      <w:r w:rsidRPr="00C97378">
        <w:rPr>
          <w:rFonts w:ascii="Calibri" w:hAnsi="Calibri" w:cs="Calibri"/>
          <w:lang w:val="es-CL"/>
        </w:rPr>
        <w:t xml:space="preserve"> el 2026, Antofagasta Minerals</w:t>
      </w:r>
      <w:r w:rsidR="003D0491">
        <w:rPr>
          <w:rFonts w:ascii="Calibri" w:hAnsi="Calibri" w:cs="Calibri"/>
          <w:lang w:val="es-CL"/>
        </w:rPr>
        <w:t xml:space="preserve"> proyecta</w:t>
      </w:r>
      <w:r>
        <w:rPr>
          <w:rFonts w:ascii="Calibri" w:hAnsi="Calibri" w:cs="Calibri"/>
          <w:lang w:val="es-CL"/>
        </w:rPr>
        <w:t xml:space="preserve"> producir entre 650.000 y 700.000 toneladas de cobre,</w:t>
      </w:r>
      <w:r w:rsidR="00C44AF1">
        <w:rPr>
          <w:rFonts w:ascii="Calibri" w:hAnsi="Calibri" w:cs="Calibri"/>
          <w:lang w:val="es-CL"/>
        </w:rPr>
        <w:t xml:space="preserve"> lo q</w:t>
      </w:r>
      <w:r w:rsidR="0090246B">
        <w:rPr>
          <w:rFonts w:ascii="Calibri" w:hAnsi="Calibri" w:cs="Calibri"/>
          <w:lang w:val="es-CL"/>
        </w:rPr>
        <w:t>ue considera un</w:t>
      </w:r>
      <w:r w:rsidR="00C44AF1">
        <w:rPr>
          <w:rFonts w:ascii="Calibri" w:hAnsi="Calibri" w:cs="Calibri"/>
          <w:lang w:val="es-CL"/>
        </w:rPr>
        <w:t xml:space="preserve"> aumento </w:t>
      </w:r>
      <w:r w:rsidR="000C3AD4">
        <w:rPr>
          <w:rFonts w:ascii="Calibri" w:hAnsi="Calibri" w:cs="Calibri"/>
          <w:lang w:val="es-CL"/>
        </w:rPr>
        <w:t xml:space="preserve">progresivo en la </w:t>
      </w:r>
      <w:r w:rsidR="00740525">
        <w:rPr>
          <w:rFonts w:ascii="Calibri" w:hAnsi="Calibri" w:cs="Calibri"/>
          <w:lang w:val="es-CL"/>
        </w:rPr>
        <w:t xml:space="preserve">producción de Los Pelambres gracias a </w:t>
      </w:r>
      <w:r w:rsidR="00256183">
        <w:rPr>
          <w:rFonts w:ascii="Calibri" w:hAnsi="Calibri" w:cs="Calibri"/>
          <w:lang w:val="es-CL"/>
        </w:rPr>
        <w:t xml:space="preserve">mayores leyes del mineral. </w:t>
      </w:r>
      <w:r w:rsidR="00256183" w:rsidRPr="00256183">
        <w:rPr>
          <w:rFonts w:ascii="Calibri" w:hAnsi="Calibri" w:cs="Calibri"/>
          <w:lang w:val="es-CL"/>
        </w:rPr>
        <w:t>Asimismo, se espera que el costo neto de caja s</w:t>
      </w:r>
      <w:r w:rsidR="00256183">
        <w:rPr>
          <w:rFonts w:ascii="Calibri" w:hAnsi="Calibri" w:cs="Calibri"/>
          <w:lang w:val="es-CL"/>
        </w:rPr>
        <w:t xml:space="preserve">e mantenga en niveles similares a los del año pasado. </w:t>
      </w:r>
    </w:p>
    <w:p w14:paraId="2A593327" w14:textId="25725E64" w:rsidR="007C4AA3" w:rsidRDefault="007C4AA3" w:rsidP="00B147EA">
      <w:pPr>
        <w:spacing w:after="80"/>
        <w:jc w:val="both"/>
        <w:rPr>
          <w:rFonts w:ascii="Calibri" w:hAnsi="Calibri" w:cs="Calibri"/>
          <w:lang w:val="es-CL"/>
        </w:rPr>
      </w:pPr>
      <w:r>
        <w:rPr>
          <w:rFonts w:ascii="Calibri" w:hAnsi="Calibri" w:cs="Calibri"/>
          <w:lang w:val="es-CL"/>
        </w:rPr>
        <w:t xml:space="preserve">Iván Arriagada destacó que </w:t>
      </w:r>
      <w:r w:rsidR="002C0C7D">
        <w:rPr>
          <w:rFonts w:ascii="Calibri" w:hAnsi="Calibri" w:cs="Calibri"/>
          <w:lang w:val="es-CL"/>
        </w:rPr>
        <w:t xml:space="preserve">la inversión planificada para el 2026 es de </w:t>
      </w:r>
      <w:r w:rsidR="00D04058">
        <w:rPr>
          <w:rFonts w:ascii="Calibri" w:hAnsi="Calibri" w:cs="Calibri"/>
          <w:lang w:val="es-CL"/>
        </w:rPr>
        <w:t>US$3.400 millones</w:t>
      </w:r>
      <w:r w:rsidR="00E56F25">
        <w:rPr>
          <w:rFonts w:ascii="Calibri" w:hAnsi="Calibri" w:cs="Calibri"/>
          <w:lang w:val="es-CL"/>
        </w:rPr>
        <w:t>.</w:t>
      </w:r>
      <w:r w:rsidR="00D04058">
        <w:rPr>
          <w:rFonts w:ascii="Calibri" w:hAnsi="Calibri" w:cs="Calibri"/>
          <w:lang w:val="es-CL"/>
        </w:rPr>
        <w:t xml:space="preserve"> </w:t>
      </w:r>
      <w:r w:rsidR="002D6FE5">
        <w:rPr>
          <w:rFonts w:ascii="Calibri" w:hAnsi="Calibri" w:cs="Calibri"/>
          <w:lang w:val="es-CL"/>
        </w:rPr>
        <w:t>“</w:t>
      </w:r>
      <w:r w:rsidR="00E56F25">
        <w:rPr>
          <w:rFonts w:ascii="Calibri" w:hAnsi="Calibri" w:cs="Calibri"/>
          <w:lang w:val="es-CL"/>
        </w:rPr>
        <w:t>Esto</w:t>
      </w:r>
      <w:r w:rsidR="00BF54FA">
        <w:rPr>
          <w:rFonts w:ascii="Calibri" w:hAnsi="Calibri" w:cs="Calibri"/>
          <w:lang w:val="es-CL"/>
        </w:rPr>
        <w:t xml:space="preserve"> refleja l</w:t>
      </w:r>
      <w:r w:rsidR="002D6FE5">
        <w:rPr>
          <w:rFonts w:ascii="Calibri" w:hAnsi="Calibri" w:cs="Calibri"/>
          <w:lang w:val="es-CL"/>
        </w:rPr>
        <w:t xml:space="preserve">as actividades en </w:t>
      </w:r>
      <w:r w:rsidR="00FF4D0D">
        <w:rPr>
          <w:rFonts w:ascii="Calibri" w:hAnsi="Calibri" w:cs="Calibri"/>
          <w:lang w:val="es-CL"/>
        </w:rPr>
        <w:t xml:space="preserve">los proyectos de crecimiento en Centinela y </w:t>
      </w:r>
      <w:r w:rsidR="009A3A7F">
        <w:rPr>
          <w:rFonts w:ascii="Calibri" w:hAnsi="Calibri" w:cs="Calibri"/>
          <w:lang w:val="es-CL"/>
        </w:rPr>
        <w:t xml:space="preserve">Los </w:t>
      </w:r>
      <w:r w:rsidR="00FF4D0D">
        <w:rPr>
          <w:rFonts w:ascii="Calibri" w:hAnsi="Calibri" w:cs="Calibri"/>
          <w:lang w:val="es-CL"/>
        </w:rPr>
        <w:t xml:space="preserve">Pelambres, así como </w:t>
      </w:r>
      <w:r w:rsidR="0090246B">
        <w:rPr>
          <w:rFonts w:ascii="Calibri" w:hAnsi="Calibri" w:cs="Calibri"/>
          <w:lang w:val="es-CL"/>
        </w:rPr>
        <w:t xml:space="preserve">una </w:t>
      </w:r>
      <w:r w:rsidR="00FF4D0D">
        <w:rPr>
          <w:rFonts w:ascii="Calibri" w:hAnsi="Calibri" w:cs="Calibri"/>
          <w:lang w:val="es-CL"/>
        </w:rPr>
        <w:t xml:space="preserve">mayor actividad para desarrollar </w:t>
      </w:r>
      <w:r w:rsidR="00C4449A">
        <w:rPr>
          <w:rFonts w:ascii="Calibri" w:hAnsi="Calibri" w:cs="Calibri"/>
          <w:lang w:val="es-CL"/>
        </w:rPr>
        <w:t>el rajo Encuentro Sulfuro</w:t>
      </w:r>
      <w:r w:rsidR="00851E99">
        <w:rPr>
          <w:rFonts w:ascii="Calibri" w:hAnsi="Calibri" w:cs="Calibri"/>
          <w:lang w:val="es-CL"/>
        </w:rPr>
        <w:t>s</w:t>
      </w:r>
      <w:r w:rsidR="0090246B">
        <w:rPr>
          <w:rFonts w:ascii="Calibri" w:hAnsi="Calibri" w:cs="Calibri"/>
          <w:lang w:val="es-CL"/>
        </w:rPr>
        <w:t>,</w:t>
      </w:r>
      <w:r w:rsidR="00C4449A">
        <w:rPr>
          <w:rFonts w:ascii="Calibri" w:hAnsi="Calibri" w:cs="Calibri"/>
          <w:lang w:val="es-CL"/>
        </w:rPr>
        <w:t xml:space="preserve"> en Centinela</w:t>
      </w:r>
      <w:r w:rsidR="00225133">
        <w:rPr>
          <w:rFonts w:ascii="Calibri" w:hAnsi="Calibri" w:cs="Calibri"/>
          <w:lang w:val="es-CL"/>
        </w:rPr>
        <w:t>”.</w:t>
      </w:r>
    </w:p>
    <w:p w14:paraId="651CCA3B" w14:textId="4203D1BB" w:rsidR="00E83D13" w:rsidRDefault="00225133" w:rsidP="00B147EA">
      <w:pPr>
        <w:spacing w:after="80"/>
        <w:jc w:val="both"/>
        <w:rPr>
          <w:rFonts w:ascii="Calibri" w:hAnsi="Calibri" w:cs="Calibri"/>
          <w:lang w:val="es-CL"/>
        </w:rPr>
      </w:pPr>
      <w:r>
        <w:rPr>
          <w:rFonts w:ascii="Calibri" w:hAnsi="Calibri" w:cs="Calibri"/>
          <w:lang w:val="es-CL"/>
        </w:rPr>
        <w:t>E</w:t>
      </w:r>
      <w:r w:rsidR="002B5069">
        <w:rPr>
          <w:rFonts w:ascii="Calibri" w:hAnsi="Calibri" w:cs="Calibri"/>
          <w:lang w:val="es-CL"/>
        </w:rPr>
        <w:t xml:space="preserve">n Minera Zaldívar </w:t>
      </w:r>
      <w:r w:rsidR="00E83D13">
        <w:rPr>
          <w:rFonts w:ascii="Calibri" w:hAnsi="Calibri" w:cs="Calibri"/>
          <w:lang w:val="es-CL"/>
        </w:rPr>
        <w:t>continúan</w:t>
      </w:r>
      <w:r w:rsidR="00717E85">
        <w:rPr>
          <w:rFonts w:ascii="Calibri" w:hAnsi="Calibri" w:cs="Calibri"/>
          <w:lang w:val="es-CL"/>
        </w:rPr>
        <w:t xml:space="preserve"> </w:t>
      </w:r>
      <w:r w:rsidR="00E83D13">
        <w:rPr>
          <w:rFonts w:ascii="Calibri" w:hAnsi="Calibri" w:cs="Calibri"/>
          <w:lang w:val="es-CL"/>
        </w:rPr>
        <w:t>los estudios y trabajos de ingeniería</w:t>
      </w:r>
      <w:r w:rsidR="00717E85">
        <w:rPr>
          <w:rFonts w:ascii="Calibri" w:hAnsi="Calibri" w:cs="Calibri"/>
          <w:lang w:val="es-CL"/>
        </w:rPr>
        <w:t xml:space="preserve"> </w:t>
      </w:r>
      <w:r w:rsidR="002303E8">
        <w:rPr>
          <w:rFonts w:ascii="Calibri" w:hAnsi="Calibri" w:cs="Calibri"/>
          <w:lang w:val="es-CL"/>
        </w:rPr>
        <w:t xml:space="preserve">con miras a </w:t>
      </w:r>
      <w:r w:rsidR="00053CA7">
        <w:rPr>
          <w:rFonts w:ascii="Calibri" w:hAnsi="Calibri" w:cs="Calibri"/>
          <w:lang w:val="es-CL"/>
        </w:rPr>
        <w:t xml:space="preserve">construir </w:t>
      </w:r>
      <w:r w:rsidR="00717E85">
        <w:rPr>
          <w:rFonts w:ascii="Calibri" w:hAnsi="Calibri" w:cs="Calibri"/>
          <w:lang w:val="es-CL"/>
        </w:rPr>
        <w:t xml:space="preserve">una solución de largo plazo </w:t>
      </w:r>
      <w:r>
        <w:rPr>
          <w:rFonts w:ascii="Calibri" w:hAnsi="Calibri" w:cs="Calibri"/>
          <w:lang w:val="es-CL"/>
        </w:rPr>
        <w:t>en</w:t>
      </w:r>
      <w:r w:rsidR="00717E85">
        <w:rPr>
          <w:rFonts w:ascii="Calibri" w:hAnsi="Calibri" w:cs="Calibri"/>
          <w:lang w:val="es-CL"/>
        </w:rPr>
        <w:t xml:space="preserve"> el sumi</w:t>
      </w:r>
      <w:r w:rsidR="006268DB">
        <w:rPr>
          <w:rFonts w:ascii="Calibri" w:hAnsi="Calibri" w:cs="Calibri"/>
          <w:lang w:val="es-CL"/>
        </w:rPr>
        <w:t>nistro de agua más allá del 2028</w:t>
      </w:r>
      <w:r w:rsidR="00E83D13">
        <w:rPr>
          <w:rFonts w:ascii="Calibri" w:hAnsi="Calibri" w:cs="Calibri"/>
          <w:lang w:val="es-CL"/>
        </w:rPr>
        <w:t xml:space="preserve">. </w:t>
      </w:r>
      <w:r w:rsidR="00053CA7">
        <w:rPr>
          <w:rFonts w:ascii="Calibri" w:hAnsi="Calibri" w:cs="Calibri"/>
          <w:lang w:val="es-CL"/>
        </w:rPr>
        <w:t xml:space="preserve">Se </w:t>
      </w:r>
      <w:r w:rsidR="00064CCD">
        <w:rPr>
          <w:rFonts w:ascii="Calibri" w:hAnsi="Calibri" w:cs="Calibri"/>
          <w:lang w:val="es-CL"/>
        </w:rPr>
        <w:t>espera que e</w:t>
      </w:r>
      <w:r w:rsidR="00E83D13" w:rsidRPr="00E83D13">
        <w:rPr>
          <w:rFonts w:ascii="Calibri" w:hAnsi="Calibri" w:cs="Calibri"/>
          <w:lang w:val="es-CL"/>
        </w:rPr>
        <w:t>l directorio tome una decisión al re</w:t>
      </w:r>
      <w:r w:rsidR="00E83D13">
        <w:rPr>
          <w:rFonts w:ascii="Calibri" w:hAnsi="Calibri" w:cs="Calibri"/>
          <w:lang w:val="es-CL"/>
        </w:rPr>
        <w:t xml:space="preserve">specto este año. </w:t>
      </w:r>
    </w:p>
    <w:p w14:paraId="1E04A2F9" w14:textId="7368EE5A" w:rsidR="00A76EB2" w:rsidRDefault="00A76EB2" w:rsidP="00B147EA">
      <w:pPr>
        <w:spacing w:after="80"/>
        <w:jc w:val="both"/>
        <w:rPr>
          <w:rFonts w:ascii="Calibri" w:hAnsi="Calibri" w:cs="Calibri"/>
          <w:lang w:val="es-CL"/>
        </w:rPr>
      </w:pPr>
      <w:r>
        <w:rPr>
          <w:rFonts w:ascii="Calibri" w:hAnsi="Calibri" w:cs="Calibri"/>
          <w:lang w:val="es-CL"/>
        </w:rPr>
        <w:t xml:space="preserve">En </w:t>
      </w:r>
      <w:r w:rsidR="005F0B86">
        <w:rPr>
          <w:rFonts w:ascii="Calibri" w:hAnsi="Calibri" w:cs="Calibri"/>
          <w:lang w:val="es-CL"/>
        </w:rPr>
        <w:t xml:space="preserve">cuanto a Exploraciones, en noviembre de 2025 el Servicio de Evaluación </w:t>
      </w:r>
      <w:r w:rsidR="00DD3592">
        <w:rPr>
          <w:rFonts w:ascii="Calibri" w:hAnsi="Calibri" w:cs="Calibri"/>
          <w:lang w:val="es-CL"/>
        </w:rPr>
        <w:t xml:space="preserve">de Impacto </w:t>
      </w:r>
      <w:r w:rsidR="005F0B86">
        <w:rPr>
          <w:rFonts w:ascii="Calibri" w:hAnsi="Calibri" w:cs="Calibri"/>
          <w:lang w:val="es-CL"/>
        </w:rPr>
        <w:t>Ambiental (</w:t>
      </w:r>
      <w:r w:rsidR="00DD3592">
        <w:rPr>
          <w:rFonts w:ascii="Calibri" w:hAnsi="Calibri" w:cs="Calibri"/>
          <w:lang w:val="es-CL"/>
        </w:rPr>
        <w:t>SEIA</w:t>
      </w:r>
      <w:r w:rsidR="005F0B86">
        <w:rPr>
          <w:rFonts w:ascii="Calibri" w:hAnsi="Calibri" w:cs="Calibri"/>
          <w:lang w:val="es-CL"/>
        </w:rPr>
        <w:t>)</w:t>
      </w:r>
      <w:r w:rsidR="00DD3592">
        <w:rPr>
          <w:rFonts w:ascii="Calibri" w:hAnsi="Calibri" w:cs="Calibri"/>
          <w:lang w:val="es-CL"/>
        </w:rPr>
        <w:t xml:space="preserve"> de la región de Antofagasta</w:t>
      </w:r>
      <w:r w:rsidR="00851E99">
        <w:rPr>
          <w:rFonts w:ascii="Calibri" w:hAnsi="Calibri" w:cs="Calibri"/>
          <w:lang w:val="es-CL"/>
        </w:rPr>
        <w:t>,</w:t>
      </w:r>
      <w:r w:rsidR="00145F34">
        <w:rPr>
          <w:rFonts w:ascii="Calibri" w:hAnsi="Calibri" w:cs="Calibri"/>
          <w:lang w:val="es-CL"/>
        </w:rPr>
        <w:t xml:space="preserve"> aprobó la Declaración de Impacto Ambiental (DIA) para trabajos adicionales en el yacimiento Cachorro. Esta DIA cubre los próximos siete años de actividades e</w:t>
      </w:r>
      <w:r w:rsidR="003B6215">
        <w:rPr>
          <w:rFonts w:ascii="Calibri" w:hAnsi="Calibri" w:cs="Calibri"/>
          <w:lang w:val="es-CL"/>
        </w:rPr>
        <w:t xml:space="preserve">n dicho yacimiento, incluyendo perforaciones y la construcción de una galería de </w:t>
      </w:r>
      <w:r w:rsidR="008B56B4">
        <w:rPr>
          <w:rFonts w:ascii="Calibri" w:hAnsi="Calibri" w:cs="Calibri"/>
          <w:lang w:val="es-CL"/>
        </w:rPr>
        <w:t>exploración</w:t>
      </w:r>
      <w:r w:rsidR="00B5304C">
        <w:rPr>
          <w:rFonts w:ascii="Calibri" w:hAnsi="Calibri" w:cs="Calibri"/>
          <w:lang w:val="es-CL"/>
        </w:rPr>
        <w:t>, cuyo inicio se contempla para este año</w:t>
      </w:r>
      <w:r w:rsidR="008B56B4">
        <w:rPr>
          <w:rFonts w:ascii="Calibri" w:hAnsi="Calibri" w:cs="Calibri"/>
          <w:lang w:val="es-CL"/>
        </w:rPr>
        <w:t>.</w:t>
      </w:r>
    </w:p>
    <w:p w14:paraId="1A2E9204" w14:textId="25372857" w:rsidR="00487A41" w:rsidRDefault="00487A41" w:rsidP="00B147EA">
      <w:pPr>
        <w:spacing w:after="80"/>
        <w:jc w:val="both"/>
        <w:rPr>
          <w:rFonts w:ascii="Calibri" w:hAnsi="Calibri" w:cs="Calibri"/>
          <w:lang w:val="es-CL"/>
        </w:rPr>
      </w:pPr>
      <w:r>
        <w:rPr>
          <w:rFonts w:ascii="Calibri" w:hAnsi="Calibri" w:cs="Calibri"/>
          <w:lang w:val="es-CL"/>
        </w:rPr>
        <w:t xml:space="preserve">Además de </w:t>
      </w:r>
      <w:r w:rsidR="00C80299">
        <w:rPr>
          <w:rFonts w:ascii="Calibri" w:hAnsi="Calibri" w:cs="Calibri"/>
          <w:lang w:val="es-CL"/>
        </w:rPr>
        <w:t xml:space="preserve">sus </w:t>
      </w:r>
      <w:r>
        <w:rPr>
          <w:rFonts w:ascii="Calibri" w:hAnsi="Calibri" w:cs="Calibri"/>
          <w:lang w:val="es-CL"/>
        </w:rPr>
        <w:t>avances en costos</w:t>
      </w:r>
      <w:r w:rsidR="00B35625">
        <w:rPr>
          <w:rFonts w:ascii="Calibri" w:hAnsi="Calibri" w:cs="Calibri"/>
          <w:lang w:val="es-CL"/>
        </w:rPr>
        <w:t>, proyectos, seguridad y producción, el Grupo Minero cumplió otra de sus metas</w:t>
      </w:r>
      <w:r w:rsidR="00C80299">
        <w:rPr>
          <w:rFonts w:ascii="Calibri" w:hAnsi="Calibri" w:cs="Calibri"/>
          <w:lang w:val="es-CL"/>
        </w:rPr>
        <w:t xml:space="preserve"> del 2025</w:t>
      </w:r>
      <w:r w:rsidR="00064CCD">
        <w:rPr>
          <w:rFonts w:ascii="Calibri" w:hAnsi="Calibri" w:cs="Calibri"/>
          <w:lang w:val="es-CL"/>
        </w:rPr>
        <w:t xml:space="preserve">: </w:t>
      </w:r>
      <w:r w:rsidR="00B35625">
        <w:rPr>
          <w:rFonts w:ascii="Calibri" w:hAnsi="Calibri" w:cs="Calibri"/>
          <w:lang w:val="es-CL"/>
        </w:rPr>
        <w:t xml:space="preserve">aumentar su dotación de mujeres a un </w:t>
      </w:r>
      <w:r w:rsidR="00DD6F52">
        <w:rPr>
          <w:rFonts w:ascii="Calibri" w:hAnsi="Calibri" w:cs="Calibri"/>
          <w:lang w:val="es-CL"/>
        </w:rPr>
        <w:t>30%, lo que lo sitúa por sobre el promedio de la industria minera</w:t>
      </w:r>
      <w:r w:rsidR="00CB6569">
        <w:rPr>
          <w:rFonts w:ascii="Calibri" w:hAnsi="Calibri" w:cs="Calibri"/>
          <w:lang w:val="es-CL"/>
        </w:rPr>
        <w:t xml:space="preserve"> </w:t>
      </w:r>
      <w:r w:rsidR="00DD6F52">
        <w:rPr>
          <w:rFonts w:ascii="Calibri" w:hAnsi="Calibri" w:cs="Calibri"/>
          <w:lang w:val="es-CL"/>
        </w:rPr>
        <w:t xml:space="preserve">del país. </w:t>
      </w:r>
    </w:p>
    <w:p w14:paraId="54284BDC" w14:textId="2BF95D16" w:rsidR="00545FCA" w:rsidRDefault="00545FCA" w:rsidP="00B147EA">
      <w:pPr>
        <w:spacing w:after="80"/>
        <w:jc w:val="both"/>
        <w:rPr>
          <w:rFonts w:ascii="Calibri" w:hAnsi="Calibri" w:cs="Calibri"/>
          <w:lang w:val="es-CL"/>
        </w:rPr>
      </w:pPr>
      <w:r>
        <w:rPr>
          <w:rFonts w:ascii="Calibri" w:hAnsi="Calibri" w:cs="Calibri"/>
          <w:lang w:val="es-CL"/>
        </w:rPr>
        <w:t>Finalmente, con respecto a las perspectivas de mercado para el cobre, esta</w:t>
      </w:r>
      <w:r w:rsidR="008F4BC6">
        <w:rPr>
          <w:rFonts w:ascii="Calibri" w:hAnsi="Calibri" w:cs="Calibri"/>
          <w:lang w:val="es-CL"/>
        </w:rPr>
        <w:t>s</w:t>
      </w:r>
      <w:r>
        <w:rPr>
          <w:rFonts w:ascii="Calibri" w:hAnsi="Calibri" w:cs="Calibri"/>
          <w:lang w:val="es-CL"/>
        </w:rPr>
        <w:t xml:space="preserve"> sigue</w:t>
      </w:r>
      <w:r w:rsidR="008F4BC6">
        <w:rPr>
          <w:rFonts w:ascii="Calibri" w:hAnsi="Calibri" w:cs="Calibri"/>
          <w:lang w:val="es-CL"/>
        </w:rPr>
        <w:t>n</w:t>
      </w:r>
      <w:r>
        <w:rPr>
          <w:rFonts w:ascii="Calibri" w:hAnsi="Calibri" w:cs="Calibri"/>
          <w:lang w:val="es-CL"/>
        </w:rPr>
        <w:t xml:space="preserve"> siendo positiva</w:t>
      </w:r>
      <w:r w:rsidR="008F4BC6">
        <w:rPr>
          <w:rFonts w:ascii="Calibri" w:hAnsi="Calibri" w:cs="Calibri"/>
          <w:lang w:val="es-CL"/>
        </w:rPr>
        <w:t>s</w:t>
      </w:r>
      <w:r>
        <w:rPr>
          <w:rFonts w:ascii="Calibri" w:hAnsi="Calibri" w:cs="Calibri"/>
          <w:lang w:val="es-CL"/>
        </w:rPr>
        <w:t>.</w:t>
      </w:r>
    </w:p>
    <w:p w14:paraId="1EFDFFA4" w14:textId="6DDD8FB7" w:rsidR="004E38F7" w:rsidRPr="008F4BC6" w:rsidRDefault="00545FCA" w:rsidP="00DD6F52">
      <w:pPr>
        <w:spacing w:after="80"/>
        <w:jc w:val="both"/>
        <w:rPr>
          <w:rFonts w:ascii="Calibri" w:hAnsi="Calibri" w:cs="Calibri"/>
          <w:lang w:val="es-CL"/>
        </w:rPr>
      </w:pPr>
      <w:r>
        <w:rPr>
          <w:rFonts w:ascii="Calibri" w:hAnsi="Calibri" w:cs="Calibri"/>
          <w:lang w:val="es-CL"/>
        </w:rPr>
        <w:t>“</w:t>
      </w:r>
      <w:r w:rsidR="000F6E5D">
        <w:rPr>
          <w:rFonts w:ascii="Calibri" w:hAnsi="Calibri" w:cs="Calibri"/>
          <w:lang w:val="es-CL"/>
        </w:rPr>
        <w:t xml:space="preserve">La demanda por el metal </w:t>
      </w:r>
      <w:r w:rsidR="008F4BC6">
        <w:rPr>
          <w:rFonts w:ascii="Calibri" w:hAnsi="Calibri" w:cs="Calibri"/>
          <w:lang w:val="es-CL"/>
        </w:rPr>
        <w:t>continúa</w:t>
      </w:r>
      <w:r w:rsidR="000F6E5D">
        <w:rPr>
          <w:rFonts w:ascii="Calibri" w:hAnsi="Calibri" w:cs="Calibri"/>
          <w:lang w:val="es-CL"/>
        </w:rPr>
        <w:t xml:space="preserve"> creciendo impulsada por la seguridad energética, la electrific</w:t>
      </w:r>
      <w:r w:rsidR="00AA5EAA">
        <w:rPr>
          <w:rFonts w:ascii="Calibri" w:hAnsi="Calibri" w:cs="Calibri"/>
          <w:lang w:val="es-CL"/>
        </w:rPr>
        <w:t>ación y las crecientes necesidades de la</w:t>
      </w:r>
      <w:r w:rsidR="008F4BC6">
        <w:rPr>
          <w:rFonts w:ascii="Calibri" w:hAnsi="Calibri" w:cs="Calibri"/>
          <w:lang w:val="es-CL"/>
        </w:rPr>
        <w:t>s</w:t>
      </w:r>
      <w:r w:rsidR="00AA5EAA">
        <w:rPr>
          <w:rFonts w:ascii="Calibri" w:hAnsi="Calibri" w:cs="Calibri"/>
          <w:lang w:val="es-CL"/>
        </w:rPr>
        <w:t xml:space="preserve"> tecnologías modernas, a la vez que la oferta </w:t>
      </w:r>
      <w:r w:rsidR="008F4BC6">
        <w:rPr>
          <w:rFonts w:ascii="Calibri" w:hAnsi="Calibri" w:cs="Calibri"/>
          <w:lang w:val="es-CL"/>
        </w:rPr>
        <w:t xml:space="preserve">se mantiene restringida,” concluyó el </w:t>
      </w:r>
      <w:proofErr w:type="gramStart"/>
      <w:r w:rsidR="007615B5">
        <w:rPr>
          <w:rFonts w:ascii="Calibri" w:hAnsi="Calibri" w:cs="Calibri"/>
          <w:lang w:val="es-CL"/>
        </w:rPr>
        <w:t>P</w:t>
      </w:r>
      <w:r w:rsidR="008F4BC6">
        <w:rPr>
          <w:rFonts w:ascii="Calibri" w:hAnsi="Calibri" w:cs="Calibri"/>
          <w:lang w:val="es-CL"/>
        </w:rPr>
        <w:t xml:space="preserve">residente </w:t>
      </w:r>
      <w:r w:rsidR="007615B5">
        <w:rPr>
          <w:rFonts w:ascii="Calibri" w:hAnsi="Calibri" w:cs="Calibri"/>
          <w:lang w:val="es-CL"/>
        </w:rPr>
        <w:t>E</w:t>
      </w:r>
      <w:r w:rsidR="008F4BC6">
        <w:rPr>
          <w:rFonts w:ascii="Calibri" w:hAnsi="Calibri" w:cs="Calibri"/>
          <w:lang w:val="es-CL"/>
        </w:rPr>
        <w:t>jecutivo</w:t>
      </w:r>
      <w:proofErr w:type="gramEnd"/>
      <w:r w:rsidR="008F4BC6">
        <w:rPr>
          <w:rFonts w:ascii="Calibri" w:hAnsi="Calibri" w:cs="Calibri"/>
          <w:lang w:val="es-CL"/>
        </w:rPr>
        <w:t xml:space="preserve"> del Grupo Minero. </w:t>
      </w:r>
      <w:r w:rsidR="00662158">
        <w:rPr>
          <w:rFonts w:asciiTheme="majorHAnsi" w:hAnsiTheme="majorHAnsi"/>
          <w:lang w:val="es-CL"/>
        </w:rPr>
        <w:t xml:space="preserve"> </w:t>
      </w:r>
    </w:p>
    <w:p w14:paraId="66F6911A" w14:textId="77777777" w:rsidR="00942BB5" w:rsidRDefault="00942BB5" w:rsidP="00B147EA">
      <w:pPr>
        <w:spacing w:after="80"/>
        <w:jc w:val="both"/>
        <w:rPr>
          <w:rFonts w:asciiTheme="majorHAnsi" w:hAnsiTheme="majorHAnsi"/>
          <w:lang w:val="es-CL"/>
        </w:rPr>
      </w:pPr>
    </w:p>
    <w:tbl>
      <w:tblPr>
        <w:tblW w:w="10076" w:type="dxa"/>
        <w:tblLook w:val="04A0" w:firstRow="1" w:lastRow="0" w:firstColumn="1" w:lastColumn="0" w:noHBand="0" w:noVBand="1"/>
      </w:tblPr>
      <w:tblGrid>
        <w:gridCol w:w="3027"/>
        <w:gridCol w:w="302"/>
        <w:gridCol w:w="876"/>
        <w:gridCol w:w="1007"/>
        <w:gridCol w:w="1007"/>
        <w:gridCol w:w="874"/>
        <w:gridCol w:w="978"/>
        <w:gridCol w:w="29"/>
        <w:gridCol w:w="989"/>
        <w:gridCol w:w="24"/>
        <w:gridCol w:w="963"/>
      </w:tblGrid>
      <w:tr w:rsidR="00734E62" w:rsidRPr="00614B92" w14:paraId="1B590D15" w14:textId="77777777" w:rsidTr="00AC1E51">
        <w:trPr>
          <w:trHeight w:val="20"/>
        </w:trPr>
        <w:tc>
          <w:tcPr>
            <w:tcW w:w="42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1C384DAD" w14:textId="309C062B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s-CL"/>
              </w:rPr>
              <w:br w:type="page"/>
            </w:r>
            <w:r w:rsidRPr="00AA0701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PRODUC</w:t>
            </w:r>
            <w:r w:rsidR="0056018C" w:rsidRPr="00AA0701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C</w:t>
            </w:r>
            <w:r w:rsidRPr="00AA0701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I</w:t>
            </w:r>
            <w:r w:rsidR="0056018C" w:rsidRPr="00AA0701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Ó</w:t>
            </w:r>
            <w:r w:rsidRPr="00AA0701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 xml:space="preserve">N </w:t>
            </w:r>
            <w:r w:rsidR="0056018C" w:rsidRPr="00AA0701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 xml:space="preserve">Y </w:t>
            </w:r>
            <w:r w:rsidRPr="00AA0701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COST</w:t>
            </w:r>
            <w:r w:rsidR="0056018C" w:rsidRPr="00AA0701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O</w:t>
            </w:r>
            <w:r w:rsidRPr="00AA0701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S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370897D3" w14:textId="636C7A72" w:rsidR="00614B92" w:rsidRPr="00AA0701" w:rsidRDefault="0056018C" w:rsidP="00AA0701">
            <w:pPr>
              <w:spacing w:after="120"/>
              <w:jc w:val="both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AA0701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Enero-Diciembre</w:t>
            </w:r>
            <w:proofErr w:type="spellEnd"/>
            <w:r w:rsidR="00614B92" w:rsidRPr="00AA0701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AA0701" w:rsidRPr="00AA0701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202</w:t>
            </w:r>
            <w:r w:rsidR="00524F42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vAlign w:val="center"/>
            <w:hideMark/>
          </w:tcPr>
          <w:p w14:paraId="5FB55969" w14:textId="77777777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Q4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vAlign w:val="center"/>
            <w:hideMark/>
          </w:tcPr>
          <w:p w14:paraId="4B33F03A" w14:textId="77777777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Q3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293CE2B" w14:textId="77777777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734E62" w:rsidRPr="00614B92" w14:paraId="17D0E3E0" w14:textId="77777777" w:rsidTr="00AC1E51">
        <w:trPr>
          <w:trHeight w:val="20"/>
        </w:trPr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/>
            <w:vAlign w:val="center"/>
            <w:hideMark/>
          </w:tcPr>
          <w:p w14:paraId="4257A0B7" w14:textId="77777777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6BD6E43" w14:textId="77777777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/>
            <w:vAlign w:val="center"/>
            <w:hideMark/>
          </w:tcPr>
          <w:p w14:paraId="1C3BDBC1" w14:textId="472C2CBF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202</w:t>
            </w:r>
            <w:r w:rsidR="00524F42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/>
            <w:vAlign w:val="center"/>
            <w:hideMark/>
          </w:tcPr>
          <w:p w14:paraId="3F6A45AB" w14:textId="149C960B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202</w:t>
            </w:r>
            <w:r w:rsidR="00524F42">
              <w:rPr>
                <w:rFonts w:asciiTheme="majorHAnsi" w:hAnsiTheme="majorHAnsi"/>
                <w:sz w:val="22"/>
                <w:szCs w:val="22"/>
                <w:lang w:val="en-GB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AFF80B1" w14:textId="77777777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/>
            <w:vAlign w:val="center"/>
            <w:hideMark/>
          </w:tcPr>
          <w:p w14:paraId="66F902C1" w14:textId="4EF0E20D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202</w:t>
            </w:r>
            <w:r w:rsidR="008B030A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/>
            <w:vAlign w:val="center"/>
            <w:hideMark/>
          </w:tcPr>
          <w:p w14:paraId="79EB9B13" w14:textId="114D396B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202</w:t>
            </w:r>
            <w:r w:rsidR="008B030A">
              <w:rPr>
                <w:rFonts w:asciiTheme="majorHAnsi" w:hAnsiTheme="majorHAnsi"/>
                <w:sz w:val="22"/>
                <w:szCs w:val="22"/>
                <w:lang w:val="en-GB"/>
              </w:rPr>
              <w:t>5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EA9167F" w14:textId="77777777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%</w:t>
            </w:r>
          </w:p>
        </w:tc>
      </w:tr>
      <w:tr w:rsidR="00734E62" w:rsidRPr="00614B92" w14:paraId="689C81D6" w14:textId="77777777" w:rsidTr="00AC1E51">
        <w:trPr>
          <w:trHeight w:val="20"/>
        </w:trPr>
        <w:tc>
          <w:tcPr>
            <w:tcW w:w="3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3C2C4C4" w14:textId="3E58726A" w:rsidR="00614B92" w:rsidRPr="00AA0701" w:rsidRDefault="00C13819" w:rsidP="00AA0701">
            <w:pPr>
              <w:spacing w:after="8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P</w:t>
            </w:r>
            <w:r w:rsidR="00614B9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roduc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c</w:t>
            </w:r>
            <w:r w:rsidR="00614B9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i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ó</w:t>
            </w:r>
            <w:r w:rsidR="00614B9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n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cobre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037C7B" w14:textId="0CDBE123" w:rsidR="00614B92" w:rsidRPr="00AA0701" w:rsidRDefault="00D433AC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t</w:t>
            </w:r>
            <w:r w:rsidR="00DB208F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ons</w:t>
            </w:r>
          </w:p>
        </w:tc>
        <w:tc>
          <w:tcPr>
            <w:tcW w:w="1007" w:type="dxa"/>
            <w:shd w:val="clear" w:color="auto" w:fill="D9D9D9"/>
            <w:vAlign w:val="center"/>
            <w:hideMark/>
          </w:tcPr>
          <w:p w14:paraId="7ACB3606" w14:textId="7F494C90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6</w:t>
            </w:r>
            <w:r w:rsidR="008823A0">
              <w:rPr>
                <w:rFonts w:asciiTheme="majorHAnsi" w:hAnsiTheme="majorHAnsi"/>
                <w:sz w:val="22"/>
                <w:szCs w:val="22"/>
                <w:lang w:val="en-GB"/>
              </w:rPr>
              <w:t>53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.</w:t>
            </w:r>
            <w:r w:rsidR="008823A0">
              <w:rPr>
                <w:rFonts w:asciiTheme="majorHAnsi" w:hAnsiTheme="majorHAnsi"/>
                <w:sz w:val="22"/>
                <w:szCs w:val="22"/>
                <w:lang w:val="en-GB"/>
              </w:rPr>
              <w:t>7</w:t>
            </w:r>
            <w:r w:rsidR="00734E6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00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007" w:type="dxa"/>
            <w:vAlign w:val="center"/>
            <w:hideMark/>
          </w:tcPr>
          <w:p w14:paraId="60E47EFC" w14:textId="683D0930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66</w:t>
            </w:r>
            <w:r w:rsidR="00C639E9">
              <w:rPr>
                <w:rFonts w:asciiTheme="majorHAnsi" w:hAnsiTheme="majorHAnsi"/>
                <w:sz w:val="22"/>
                <w:szCs w:val="22"/>
                <w:lang w:val="en-GB"/>
              </w:rPr>
              <w:t>4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.</w:t>
            </w:r>
            <w:r w:rsidR="00C639E9">
              <w:rPr>
                <w:rFonts w:asciiTheme="majorHAnsi" w:hAnsiTheme="majorHAnsi"/>
                <w:sz w:val="22"/>
                <w:szCs w:val="22"/>
                <w:lang w:val="en-GB"/>
              </w:rPr>
              <w:t>0</w:t>
            </w:r>
            <w:r w:rsidR="00734E6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00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E87EA9" w14:textId="2C3CA747" w:rsidR="00614B92" w:rsidRPr="00AA0701" w:rsidRDefault="008823A0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(1</w:t>
            </w:r>
            <w:r w:rsidR="0056018C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,</w:t>
            </w:r>
            <w:r>
              <w:rPr>
                <w:rFonts w:asciiTheme="majorHAnsi" w:hAnsiTheme="majorHAnsi"/>
                <w:sz w:val="22"/>
                <w:szCs w:val="22"/>
                <w:lang w:val="en-GB"/>
              </w:rPr>
              <w:t>6)</w:t>
            </w:r>
            <w:r w:rsidR="00614B9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007" w:type="dxa"/>
            <w:gridSpan w:val="2"/>
            <w:shd w:val="clear" w:color="auto" w:fill="D9D9D9"/>
            <w:vAlign w:val="center"/>
            <w:hideMark/>
          </w:tcPr>
          <w:p w14:paraId="4A4FEF90" w14:textId="3B1E338B" w:rsidR="00614B92" w:rsidRPr="00AA0701" w:rsidRDefault="001E4629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177</w:t>
            </w:r>
            <w:r w:rsidR="00614B9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.</w:t>
            </w:r>
            <w:r>
              <w:rPr>
                <w:rFonts w:asciiTheme="majorHAnsi" w:hAnsiTheme="majorHAnsi"/>
                <w:sz w:val="22"/>
                <w:szCs w:val="22"/>
                <w:lang w:val="en-GB"/>
              </w:rPr>
              <w:t>0</w:t>
            </w:r>
            <w:r w:rsidR="00C13819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00</w:t>
            </w:r>
            <w:r w:rsidR="00614B9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013" w:type="dxa"/>
            <w:gridSpan w:val="2"/>
            <w:vAlign w:val="center"/>
            <w:hideMark/>
          </w:tcPr>
          <w:p w14:paraId="77A63CCD" w14:textId="2C15B705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1</w:t>
            </w:r>
            <w:r w:rsidR="001E4629">
              <w:rPr>
                <w:rFonts w:asciiTheme="majorHAnsi" w:hAnsiTheme="majorHAnsi"/>
                <w:sz w:val="22"/>
                <w:szCs w:val="22"/>
                <w:lang w:val="en-GB"/>
              </w:rPr>
              <w:t>61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.0</w:t>
            </w:r>
            <w:r w:rsidR="00C13819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00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778E57" w14:textId="4FDD68FB" w:rsidR="00614B92" w:rsidRPr="00AA0701" w:rsidRDefault="002A7F43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9</w:t>
            </w:r>
            <w:r w:rsidR="0056018C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,</w:t>
            </w:r>
            <w:r>
              <w:rPr>
                <w:rFonts w:asciiTheme="majorHAnsi" w:hAnsiTheme="majorHAnsi"/>
                <w:sz w:val="22"/>
                <w:szCs w:val="22"/>
                <w:lang w:val="en-GB"/>
              </w:rPr>
              <w:t>4</w:t>
            </w:r>
            <w:r w:rsidR="00614B9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</w:p>
        </w:tc>
      </w:tr>
      <w:tr w:rsidR="00734E62" w:rsidRPr="00614B92" w14:paraId="45A887FA" w14:textId="77777777" w:rsidTr="00AC1E51">
        <w:trPr>
          <w:trHeight w:val="20"/>
        </w:trPr>
        <w:tc>
          <w:tcPr>
            <w:tcW w:w="3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5C25EF0" w14:textId="605EC1BF" w:rsidR="00614B92" w:rsidRPr="00AA0701" w:rsidRDefault="00AC1E51" w:rsidP="00AA0701">
            <w:pPr>
              <w:spacing w:after="8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P</w:t>
            </w:r>
            <w:r w:rsidR="00614B9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roduc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c</w:t>
            </w:r>
            <w:r w:rsidR="00614B9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i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ó</w:t>
            </w:r>
            <w:r w:rsidR="00614B9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n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oro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C0C98D" w14:textId="784C848A" w:rsidR="00614B92" w:rsidRPr="00AA0701" w:rsidRDefault="00DB208F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proofErr w:type="spellStart"/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onzas</w:t>
            </w:r>
            <w:proofErr w:type="spellEnd"/>
          </w:p>
        </w:tc>
        <w:tc>
          <w:tcPr>
            <w:tcW w:w="1007" w:type="dxa"/>
            <w:shd w:val="clear" w:color="auto" w:fill="D9D9D9"/>
            <w:vAlign w:val="center"/>
            <w:hideMark/>
          </w:tcPr>
          <w:p w14:paraId="5B00DEB5" w14:textId="649F172D" w:rsidR="00614B92" w:rsidRPr="00AA0701" w:rsidRDefault="008823A0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21</w:t>
            </w:r>
            <w:r w:rsidR="00614B9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1.</w:t>
            </w:r>
            <w:r w:rsidR="003D19D1">
              <w:rPr>
                <w:rFonts w:asciiTheme="majorHAnsi" w:hAnsiTheme="majorHAnsi"/>
                <w:sz w:val="22"/>
                <w:szCs w:val="22"/>
                <w:lang w:val="en-GB"/>
              </w:rPr>
              <w:t>1</w:t>
            </w:r>
            <w:r w:rsidR="00734E6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00</w:t>
            </w:r>
            <w:r w:rsidR="00614B9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007" w:type="dxa"/>
            <w:vAlign w:val="center"/>
            <w:hideMark/>
          </w:tcPr>
          <w:p w14:paraId="4B6CB50D" w14:textId="0181462B" w:rsidR="00614B92" w:rsidRPr="00AA0701" w:rsidRDefault="00C639E9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186</w:t>
            </w:r>
            <w:r w:rsidR="00614B9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.</w:t>
            </w:r>
            <w:r>
              <w:rPr>
                <w:rFonts w:asciiTheme="majorHAnsi" w:hAnsiTheme="majorHAnsi"/>
                <w:sz w:val="22"/>
                <w:szCs w:val="22"/>
                <w:lang w:val="en-GB"/>
              </w:rPr>
              <w:t>9</w:t>
            </w:r>
            <w:r w:rsidR="00734E6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00</w:t>
            </w:r>
            <w:r w:rsidR="00614B9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6A8ADE" w14:textId="05AE3412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1</w:t>
            </w:r>
            <w:r w:rsidR="003D19D1">
              <w:rPr>
                <w:rFonts w:asciiTheme="majorHAnsi" w:hAnsiTheme="majorHAnsi"/>
                <w:sz w:val="22"/>
                <w:szCs w:val="22"/>
                <w:lang w:val="en-GB"/>
              </w:rPr>
              <w:t>3</w:t>
            </w:r>
            <w:r w:rsidR="0056018C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,</w:t>
            </w:r>
            <w:r w:rsidR="003D19D1">
              <w:rPr>
                <w:rFonts w:asciiTheme="majorHAnsi" w:hAnsiTheme="majorHAnsi"/>
                <w:sz w:val="22"/>
                <w:szCs w:val="22"/>
                <w:lang w:val="en-GB"/>
              </w:rPr>
              <w:t>1</w:t>
            </w:r>
          </w:p>
        </w:tc>
        <w:tc>
          <w:tcPr>
            <w:tcW w:w="1007" w:type="dxa"/>
            <w:gridSpan w:val="2"/>
            <w:shd w:val="clear" w:color="auto" w:fill="D9D9D9"/>
            <w:vAlign w:val="center"/>
            <w:hideMark/>
          </w:tcPr>
          <w:p w14:paraId="265E23A4" w14:textId="18BC0901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6</w:t>
            </w:r>
            <w:r w:rsidR="002A7F43">
              <w:rPr>
                <w:rFonts w:asciiTheme="majorHAnsi" w:hAnsiTheme="majorHAnsi"/>
                <w:sz w:val="22"/>
                <w:szCs w:val="22"/>
                <w:lang w:val="en-GB"/>
              </w:rPr>
              <w:t>6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.</w:t>
            </w:r>
            <w:r w:rsidR="002A7F43">
              <w:rPr>
                <w:rFonts w:asciiTheme="majorHAnsi" w:hAnsiTheme="majorHAnsi"/>
                <w:sz w:val="22"/>
                <w:szCs w:val="22"/>
                <w:lang w:val="en-GB"/>
              </w:rPr>
              <w:t>3</w:t>
            </w:r>
            <w:r w:rsidR="00C13819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00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013" w:type="dxa"/>
            <w:gridSpan w:val="2"/>
            <w:vAlign w:val="center"/>
            <w:hideMark/>
          </w:tcPr>
          <w:p w14:paraId="048A1EE0" w14:textId="76193F6B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5</w:t>
            </w:r>
            <w:r w:rsidR="002A7F43">
              <w:rPr>
                <w:rFonts w:asciiTheme="majorHAnsi" w:hAnsiTheme="majorHAnsi"/>
                <w:sz w:val="22"/>
                <w:szCs w:val="22"/>
                <w:lang w:val="en-GB"/>
              </w:rPr>
              <w:t>3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.</w:t>
            </w:r>
            <w:r w:rsidR="002A7F43">
              <w:rPr>
                <w:rFonts w:asciiTheme="majorHAnsi" w:hAnsiTheme="majorHAnsi"/>
                <w:sz w:val="22"/>
                <w:szCs w:val="22"/>
                <w:lang w:val="en-GB"/>
              </w:rPr>
              <w:t>9</w:t>
            </w:r>
            <w:r w:rsidR="00C13819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00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CF381D" w14:textId="3193A49E" w:rsidR="00614B92" w:rsidRPr="00AA0701" w:rsidRDefault="005223B3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23</w:t>
            </w:r>
            <w:r w:rsidR="0056018C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,</w:t>
            </w:r>
            <w:r>
              <w:rPr>
                <w:rFonts w:asciiTheme="majorHAnsi" w:hAnsiTheme="majorHAnsi"/>
                <w:sz w:val="22"/>
                <w:szCs w:val="22"/>
                <w:lang w:val="en-GB"/>
              </w:rPr>
              <w:t>0</w:t>
            </w:r>
            <w:r w:rsidR="00614B9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</w:p>
        </w:tc>
      </w:tr>
      <w:tr w:rsidR="00734E62" w:rsidRPr="00614B92" w14:paraId="401B8E81" w14:textId="77777777" w:rsidTr="00AA0701">
        <w:trPr>
          <w:trHeight w:val="99"/>
        </w:trPr>
        <w:tc>
          <w:tcPr>
            <w:tcW w:w="33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755AAF" w14:textId="38314DC9" w:rsidR="00614B92" w:rsidRPr="00AA0701" w:rsidRDefault="00AC1E51" w:rsidP="00AA0701">
            <w:pPr>
              <w:spacing w:after="8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P</w:t>
            </w:r>
            <w:r w:rsidR="00614B9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roduc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c</w:t>
            </w:r>
            <w:r w:rsidR="00614B9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i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ó</w:t>
            </w:r>
            <w:r w:rsidR="00614B9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n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molibdeno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24D5BF" w14:textId="5180866B" w:rsidR="00614B92" w:rsidRPr="00AA0701" w:rsidRDefault="00DB208F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tons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0228E911" w14:textId="75905DEF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1</w:t>
            </w:r>
            <w:r w:rsidR="003D19D1">
              <w:rPr>
                <w:rFonts w:asciiTheme="majorHAnsi" w:hAnsiTheme="majorHAnsi"/>
                <w:sz w:val="22"/>
                <w:szCs w:val="22"/>
                <w:lang w:val="en-GB"/>
              </w:rPr>
              <w:t>5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.</w:t>
            </w:r>
            <w:r w:rsidR="003D19D1">
              <w:rPr>
                <w:rFonts w:asciiTheme="majorHAnsi" w:hAnsiTheme="majorHAnsi"/>
                <w:sz w:val="22"/>
                <w:szCs w:val="22"/>
                <w:lang w:val="en-GB"/>
              </w:rPr>
              <w:t>8</w:t>
            </w:r>
            <w:r w:rsidR="00734E6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00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81DB22" w14:textId="7FA635CE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1</w:t>
            </w:r>
            <w:r w:rsidR="00C639E9">
              <w:rPr>
                <w:rFonts w:asciiTheme="majorHAnsi" w:hAnsiTheme="majorHAnsi"/>
                <w:sz w:val="22"/>
                <w:szCs w:val="22"/>
                <w:lang w:val="en-GB"/>
              </w:rPr>
              <w:t>0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.</w:t>
            </w:r>
            <w:r w:rsidR="00C639E9">
              <w:rPr>
                <w:rFonts w:asciiTheme="majorHAnsi" w:hAnsiTheme="majorHAnsi"/>
                <w:sz w:val="22"/>
                <w:szCs w:val="22"/>
                <w:lang w:val="en-GB"/>
              </w:rPr>
              <w:t>7</w:t>
            </w:r>
            <w:r w:rsidR="00734E6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00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9CC4" w14:textId="390C9861" w:rsidR="00614B92" w:rsidRPr="00AA0701" w:rsidRDefault="000A12AC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47</w:t>
            </w:r>
            <w:r w:rsidR="0056018C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,</w:t>
            </w:r>
            <w:r w:rsidR="00614B9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7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6E4AEDE2" w14:textId="259E7500" w:rsidR="00614B92" w:rsidRPr="00AA0701" w:rsidRDefault="00064A96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4</w:t>
            </w:r>
            <w:r w:rsidR="00614B9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.</w:t>
            </w:r>
            <w:r>
              <w:rPr>
                <w:rFonts w:asciiTheme="majorHAnsi" w:hAnsiTheme="majorHAnsi"/>
                <w:sz w:val="22"/>
                <w:szCs w:val="22"/>
                <w:lang w:val="en-GB"/>
              </w:rPr>
              <w:t>4</w:t>
            </w:r>
            <w:r w:rsidR="00C13819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00</w:t>
            </w:r>
            <w:r w:rsidR="00614B9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94D97B" w14:textId="2AEA0437" w:rsidR="00614B92" w:rsidRPr="00AA0701" w:rsidRDefault="00064A96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3</w:t>
            </w:r>
            <w:r w:rsidR="00614B9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.</w:t>
            </w:r>
            <w:r>
              <w:rPr>
                <w:rFonts w:asciiTheme="majorHAnsi" w:hAnsiTheme="majorHAnsi"/>
                <w:sz w:val="22"/>
                <w:szCs w:val="22"/>
                <w:lang w:val="en-GB"/>
              </w:rPr>
              <w:t>9</w:t>
            </w:r>
            <w:r w:rsidR="00C13819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00</w:t>
            </w:r>
            <w:r w:rsidR="00614B9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308E" w14:textId="7DE34013" w:rsidR="00614B92" w:rsidRPr="00AA0701" w:rsidRDefault="00064A96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12</w:t>
            </w:r>
            <w:r w:rsidR="0056018C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,</w:t>
            </w:r>
            <w:r>
              <w:rPr>
                <w:rFonts w:asciiTheme="majorHAnsi" w:hAnsiTheme="majorHAnsi"/>
                <w:sz w:val="22"/>
                <w:szCs w:val="22"/>
                <w:lang w:val="en-GB"/>
              </w:rPr>
              <w:t>8</w:t>
            </w:r>
            <w:r w:rsidR="00614B9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</w:p>
        </w:tc>
      </w:tr>
      <w:tr w:rsidR="00734E62" w:rsidRPr="00614B92" w14:paraId="700968AA" w14:textId="77777777" w:rsidTr="00AC1E51">
        <w:trPr>
          <w:trHeight w:val="20"/>
        </w:trPr>
        <w:tc>
          <w:tcPr>
            <w:tcW w:w="3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C36B94F" w14:textId="58204DA7" w:rsidR="00614B92" w:rsidRPr="00AA0701" w:rsidRDefault="00614B92" w:rsidP="00AA0701">
            <w:pPr>
              <w:spacing w:after="80"/>
              <w:jc w:val="both"/>
              <w:rPr>
                <w:rFonts w:asciiTheme="majorHAnsi" w:hAnsiTheme="majorHAnsi"/>
                <w:sz w:val="22"/>
                <w:szCs w:val="22"/>
                <w:lang w:val="es-CL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s-CL"/>
              </w:rPr>
              <w:t>Cost</w:t>
            </w:r>
            <w:r w:rsidR="00AC1E51" w:rsidRPr="00AA0701">
              <w:rPr>
                <w:rFonts w:asciiTheme="majorHAnsi" w:hAnsiTheme="majorHAnsi"/>
                <w:sz w:val="22"/>
                <w:szCs w:val="22"/>
                <w:lang w:val="es-CL"/>
              </w:rPr>
              <w:t>o antes de créditos por subproductos</w:t>
            </w:r>
            <w:r w:rsidRPr="00AA0701">
              <w:rPr>
                <w:rFonts w:asciiTheme="majorHAnsi" w:hAnsiTheme="majorHAnsi"/>
                <w:sz w:val="22"/>
                <w:szCs w:val="22"/>
                <w:lang w:val="es-CL"/>
              </w:rPr>
              <w:t xml:space="preserve">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7012B8" w14:textId="27642E5A" w:rsidR="00614B92" w:rsidRPr="00AA0701" w:rsidRDefault="00734E6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US</w:t>
            </w:r>
            <w:r w:rsidR="00614B9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$/lb</w:t>
            </w:r>
          </w:p>
        </w:tc>
        <w:tc>
          <w:tcPr>
            <w:tcW w:w="1007" w:type="dxa"/>
            <w:shd w:val="clear" w:color="auto" w:fill="D9D9D9"/>
            <w:vAlign w:val="center"/>
            <w:hideMark/>
          </w:tcPr>
          <w:p w14:paraId="188B02F9" w14:textId="25AFB895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2</w:t>
            </w:r>
            <w:r w:rsidR="00C13819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,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3</w:t>
            </w:r>
            <w:r w:rsidR="00BD1F8B">
              <w:rPr>
                <w:rFonts w:asciiTheme="majorHAnsi" w:hAnsiTheme="majorHAnsi"/>
                <w:sz w:val="22"/>
                <w:szCs w:val="22"/>
                <w:lang w:val="en-GB"/>
              </w:rPr>
              <w:t>8</w:t>
            </w:r>
          </w:p>
        </w:tc>
        <w:tc>
          <w:tcPr>
            <w:tcW w:w="1007" w:type="dxa"/>
            <w:vAlign w:val="center"/>
            <w:hideMark/>
          </w:tcPr>
          <w:p w14:paraId="27FDD40A" w14:textId="699CD609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2</w:t>
            </w:r>
            <w:r w:rsidR="00C13819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,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3</w:t>
            </w:r>
            <w:r w:rsidR="00BD6827">
              <w:rPr>
                <w:rFonts w:asciiTheme="majorHAnsi" w:hAnsiTheme="majorHAnsi"/>
                <w:sz w:val="22"/>
                <w:szCs w:val="22"/>
                <w:lang w:val="en-GB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BC4558" w14:textId="2BD7E732" w:rsidR="00614B92" w:rsidRPr="00AA0701" w:rsidRDefault="00BD1F8B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0</w:t>
            </w:r>
            <w:r w:rsidR="0056018C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,</w:t>
            </w:r>
            <w:r>
              <w:rPr>
                <w:rFonts w:asciiTheme="majorHAnsi" w:hAnsiTheme="majorHAnsi"/>
                <w:sz w:val="22"/>
                <w:szCs w:val="22"/>
                <w:lang w:val="en-GB"/>
              </w:rPr>
              <w:t>4</w:t>
            </w:r>
            <w:r w:rsidR="00614B9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007" w:type="dxa"/>
            <w:gridSpan w:val="2"/>
            <w:shd w:val="clear" w:color="auto" w:fill="D9D9D9"/>
            <w:vAlign w:val="center"/>
            <w:hideMark/>
          </w:tcPr>
          <w:p w14:paraId="04BD2647" w14:textId="28C56C74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2</w:t>
            </w:r>
            <w:r w:rsidR="00C13819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,</w:t>
            </w:r>
            <w:r w:rsidR="00815899">
              <w:rPr>
                <w:rFonts w:asciiTheme="majorHAnsi" w:hAnsiTheme="majorHAnsi"/>
                <w:sz w:val="22"/>
                <w:szCs w:val="22"/>
                <w:lang w:val="en-GB"/>
              </w:rPr>
              <w:t>44</w:t>
            </w:r>
          </w:p>
        </w:tc>
        <w:tc>
          <w:tcPr>
            <w:tcW w:w="1013" w:type="dxa"/>
            <w:gridSpan w:val="2"/>
            <w:vAlign w:val="center"/>
            <w:hideMark/>
          </w:tcPr>
          <w:p w14:paraId="67721515" w14:textId="53B89261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2</w:t>
            </w:r>
            <w:r w:rsidR="00C13819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,</w:t>
            </w:r>
            <w:r w:rsidR="00815899">
              <w:rPr>
                <w:rFonts w:asciiTheme="majorHAnsi" w:hAnsiTheme="majorHAnsi"/>
                <w:sz w:val="22"/>
                <w:szCs w:val="22"/>
                <w:lang w:val="en-GB"/>
              </w:rPr>
              <w:t>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9FB5AD" w14:textId="2BB44415" w:rsidR="00614B92" w:rsidRPr="00AA0701" w:rsidRDefault="00815899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0</w:t>
            </w:r>
            <w:r w:rsidR="00C13819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,</w:t>
            </w:r>
            <w:r>
              <w:rPr>
                <w:rFonts w:asciiTheme="majorHAnsi" w:hAnsiTheme="majorHAnsi"/>
                <w:sz w:val="22"/>
                <w:szCs w:val="22"/>
                <w:lang w:val="en-GB"/>
              </w:rPr>
              <w:t>8</w:t>
            </w:r>
          </w:p>
        </w:tc>
      </w:tr>
      <w:tr w:rsidR="00734E62" w:rsidRPr="00614B92" w14:paraId="567168CB" w14:textId="77777777" w:rsidTr="00AC1E51">
        <w:trPr>
          <w:trHeight w:val="20"/>
        </w:trPr>
        <w:tc>
          <w:tcPr>
            <w:tcW w:w="33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013227" w14:textId="50DAE56A" w:rsidR="00614B92" w:rsidRPr="00AA0701" w:rsidRDefault="00AC1E51" w:rsidP="00AA0701">
            <w:pPr>
              <w:spacing w:after="8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C</w:t>
            </w:r>
            <w:r w:rsidR="00614B9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ost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o </w:t>
            </w:r>
            <w:proofErr w:type="spellStart"/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neto</w:t>
            </w:r>
            <w:proofErr w:type="spellEnd"/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caja</w:t>
            </w:r>
            <w:proofErr w:type="spellEnd"/>
            <w:r w:rsidR="00614B9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EDC754" w14:textId="0F4615C7" w:rsidR="00614B92" w:rsidRPr="00AA0701" w:rsidRDefault="00734E6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US</w:t>
            </w:r>
            <w:r w:rsidR="00614B9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$/lb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3904AE18" w14:textId="2E4267AC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1</w:t>
            </w:r>
            <w:r w:rsidR="00C13819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,</w:t>
            </w:r>
            <w:r w:rsidR="00BD1F8B">
              <w:rPr>
                <w:rFonts w:asciiTheme="majorHAnsi" w:hAnsiTheme="majorHAnsi"/>
                <w:sz w:val="22"/>
                <w:szCs w:val="22"/>
                <w:lang w:val="en-GB"/>
              </w:rPr>
              <w:t>19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979AA0" w14:textId="70FAEB22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1</w:t>
            </w:r>
            <w:r w:rsidR="00C13819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,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6</w:t>
            </w:r>
            <w:r w:rsidR="00BD6827">
              <w:rPr>
                <w:rFonts w:asciiTheme="majorHAnsi" w:hAnsiTheme="majorHAnsi"/>
                <w:sz w:val="22"/>
                <w:szCs w:val="22"/>
                <w:lang w:val="en-GB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9FAC" w14:textId="5E60B8CF" w:rsidR="00614B92" w:rsidRPr="00AA0701" w:rsidRDefault="001E4629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(27</w:t>
            </w:r>
            <w:r w:rsidR="0056018C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,</w:t>
            </w:r>
            <w:r>
              <w:rPr>
                <w:rFonts w:asciiTheme="majorHAnsi" w:hAnsiTheme="majorHAnsi"/>
                <w:sz w:val="22"/>
                <w:szCs w:val="22"/>
                <w:lang w:val="en-GB"/>
              </w:rPr>
              <w:t>4)</w:t>
            </w:r>
            <w:r w:rsidR="00614B9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0DE1887E" w14:textId="016C93A8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1</w:t>
            </w:r>
            <w:r w:rsidR="00C13819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,</w:t>
            </w:r>
            <w:r w:rsidR="00B42C2A">
              <w:rPr>
                <w:rFonts w:asciiTheme="majorHAnsi" w:hAnsiTheme="majorHAnsi"/>
                <w:sz w:val="22"/>
                <w:szCs w:val="22"/>
                <w:lang w:val="en-GB"/>
              </w:rPr>
              <w:t>05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3DF8AE" w14:textId="38694311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1</w:t>
            </w:r>
            <w:r w:rsidR="00C13819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,</w:t>
            </w:r>
            <w:r w:rsidR="00B42C2A">
              <w:rPr>
                <w:rFonts w:asciiTheme="majorHAnsi" w:hAnsiTheme="majorHAnsi"/>
                <w:sz w:val="22"/>
                <w:szCs w:val="22"/>
                <w:lang w:val="en-GB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F9D1" w14:textId="3EAE3B36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(</w:t>
            </w:r>
            <w:r w:rsidR="00B42C2A">
              <w:rPr>
                <w:rFonts w:asciiTheme="majorHAnsi" w:hAnsiTheme="majorHAnsi"/>
                <w:sz w:val="22"/>
                <w:szCs w:val="22"/>
                <w:lang w:val="en-GB"/>
              </w:rPr>
              <w:t>1</w:t>
            </w:r>
            <w:r w:rsidR="00C13819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,</w:t>
            </w:r>
            <w:r w:rsidR="00B42C2A">
              <w:rPr>
                <w:rFonts w:asciiTheme="majorHAnsi" w:hAnsiTheme="majorHAnsi"/>
                <w:sz w:val="22"/>
                <w:szCs w:val="22"/>
                <w:lang w:val="en-GB"/>
              </w:rPr>
              <w:t>9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)</w:t>
            </w:r>
          </w:p>
        </w:tc>
      </w:tr>
    </w:tbl>
    <w:p w14:paraId="104238F8" w14:textId="77777777" w:rsidR="00614B92" w:rsidRPr="002F583C" w:rsidRDefault="00614B92" w:rsidP="002F583C">
      <w:pPr>
        <w:spacing w:after="120"/>
        <w:jc w:val="both"/>
        <w:rPr>
          <w:rFonts w:asciiTheme="majorHAnsi" w:hAnsiTheme="majorHAnsi"/>
          <w:lang w:val="es-CL"/>
        </w:rPr>
      </w:pPr>
    </w:p>
    <w:p w14:paraId="4EA66275" w14:textId="7C924E8C" w:rsidR="001360EC" w:rsidRDefault="00A55C89" w:rsidP="001B215E">
      <w:pPr>
        <w:spacing w:after="120"/>
        <w:jc w:val="center"/>
      </w:pPr>
      <w:r w:rsidRPr="00CF5D37">
        <w:rPr>
          <w:rFonts w:asciiTheme="majorHAnsi" w:hAnsiTheme="majorHAnsi"/>
          <w:b/>
          <w:lang w:val="es-CL"/>
        </w:rPr>
        <w:t>GERENCIA DE COMUNICACIONES</w:t>
      </w:r>
    </w:p>
    <w:sectPr w:rsidR="001360EC" w:rsidSect="006F5EA2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705" w:right="1134" w:bottom="1134" w:left="1134" w:header="426" w:footer="1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0AD76" w14:textId="77777777" w:rsidR="001E4FE3" w:rsidRDefault="001E4FE3" w:rsidP="00242EE2">
      <w:r>
        <w:separator/>
      </w:r>
    </w:p>
  </w:endnote>
  <w:endnote w:type="continuationSeparator" w:id="0">
    <w:p w14:paraId="35BABF8E" w14:textId="77777777" w:rsidR="001E4FE3" w:rsidRDefault="001E4FE3" w:rsidP="0024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13454" w14:textId="77777777" w:rsidR="00D5484F" w:rsidRDefault="00D62DC4">
    <w:pPr>
      <w:pStyle w:val="Piedepgina"/>
    </w:pPr>
    <w:sdt>
      <w:sdtPr>
        <w:id w:val="864954350"/>
        <w:temporary/>
        <w:showingPlcHdr/>
      </w:sdtPr>
      <w:sdtEndPr/>
      <w:sdtContent>
        <w:r w:rsidR="00D5484F">
          <w:rPr>
            <w:lang w:val="es-ES"/>
          </w:rPr>
          <w:t>[Escriba texto]</w:t>
        </w:r>
      </w:sdtContent>
    </w:sdt>
    <w:r w:rsidR="00D5484F">
      <w:ptab w:relativeTo="margin" w:alignment="center" w:leader="none"/>
    </w:r>
    <w:sdt>
      <w:sdtPr>
        <w:id w:val="869498041"/>
        <w:temporary/>
        <w:showingPlcHdr/>
      </w:sdtPr>
      <w:sdtEndPr/>
      <w:sdtContent>
        <w:r w:rsidR="00D5484F">
          <w:rPr>
            <w:lang w:val="es-ES"/>
          </w:rPr>
          <w:t>[Escriba texto]</w:t>
        </w:r>
      </w:sdtContent>
    </w:sdt>
    <w:r w:rsidR="00D5484F">
      <w:ptab w:relativeTo="margin" w:alignment="right" w:leader="none"/>
    </w:r>
    <w:sdt>
      <w:sdtPr>
        <w:id w:val="586508866"/>
        <w:temporary/>
        <w:showingPlcHdr/>
      </w:sdtPr>
      <w:sdtEndPr/>
      <w:sdtContent>
        <w:r w:rsidR="00D5484F">
          <w:rPr>
            <w:lang w:val="es-ES"/>
          </w:rPr>
          <w:t>[Escriba texto]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F3E1B" w14:textId="77777777" w:rsidR="00D5484F" w:rsidRDefault="00D5484F" w:rsidP="009D1750">
    <w:pPr>
      <w:pStyle w:val="Piedepgina"/>
      <w:ind w:left="-1701" w:firstLine="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0D6F6" w14:textId="77777777" w:rsidR="001E4FE3" w:rsidRDefault="001E4FE3" w:rsidP="00242EE2">
      <w:r>
        <w:separator/>
      </w:r>
    </w:p>
  </w:footnote>
  <w:footnote w:type="continuationSeparator" w:id="0">
    <w:p w14:paraId="56E0E199" w14:textId="77777777" w:rsidR="001E4FE3" w:rsidRDefault="001E4FE3" w:rsidP="00242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C6C89" w14:textId="77777777" w:rsidR="00D5484F" w:rsidRDefault="00D62DC4">
    <w:pPr>
      <w:pStyle w:val="Encabezado"/>
    </w:pPr>
    <w:sdt>
      <w:sdtPr>
        <w:id w:val="-639726123"/>
        <w:placeholder>
          <w:docPart w:val="DC8B9EF95BD6EE4188FBD660E12A611C"/>
        </w:placeholder>
        <w:temporary/>
        <w:showingPlcHdr/>
      </w:sdtPr>
      <w:sdtEndPr/>
      <w:sdtContent>
        <w:r w:rsidR="00D5484F">
          <w:rPr>
            <w:lang w:val="es-ES"/>
          </w:rPr>
          <w:t>[Escriba texto]</w:t>
        </w:r>
      </w:sdtContent>
    </w:sdt>
    <w:r w:rsidR="00D5484F">
      <w:ptab w:relativeTo="margin" w:alignment="center" w:leader="none"/>
    </w:r>
    <w:sdt>
      <w:sdtPr>
        <w:id w:val="2030371397"/>
        <w:placeholder>
          <w:docPart w:val="D97AD44C4EC8E6458132BE32CACE2231"/>
        </w:placeholder>
        <w:temporary/>
        <w:showingPlcHdr/>
      </w:sdtPr>
      <w:sdtEndPr/>
      <w:sdtContent>
        <w:r w:rsidR="00D5484F">
          <w:rPr>
            <w:lang w:val="es-ES"/>
          </w:rPr>
          <w:t>[Escriba texto]</w:t>
        </w:r>
      </w:sdtContent>
    </w:sdt>
    <w:r w:rsidR="00D5484F">
      <w:ptab w:relativeTo="margin" w:alignment="right" w:leader="none"/>
    </w:r>
    <w:sdt>
      <w:sdtPr>
        <w:id w:val="1415207078"/>
        <w:placeholder>
          <w:docPart w:val="E3693006B084AC499F211AC1186E7C2E"/>
        </w:placeholder>
        <w:temporary/>
        <w:showingPlcHdr/>
      </w:sdtPr>
      <w:sdtEndPr/>
      <w:sdtContent>
        <w:r w:rsidR="00D5484F">
          <w:rPr>
            <w:lang w:val="es-ES"/>
          </w:rPr>
          <w:t>[Escriba texto]</w:t>
        </w:r>
      </w:sdtContent>
    </w:sdt>
  </w:p>
  <w:p w14:paraId="392C89FA" w14:textId="77777777" w:rsidR="00D5484F" w:rsidRDefault="00D5484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1900" w14:textId="77777777" w:rsidR="00D5484F" w:rsidRPr="00242EE2" w:rsidRDefault="00D5484F" w:rsidP="009D1750">
    <w:pPr>
      <w:pStyle w:val="Encabezado"/>
      <w:ind w:left="-1134" w:firstLine="850"/>
    </w:pPr>
    <w:r>
      <w:rPr>
        <w:noProof/>
        <w:lang w:val="es-CL" w:eastAsia="es-CL"/>
      </w:rPr>
      <w:drawing>
        <wp:inline distT="0" distB="0" distL="0" distR="0" wp14:anchorId="112C84B8" wp14:editId="73EC3958">
          <wp:extent cx="1764275" cy="717764"/>
          <wp:effectExtent l="0" t="0" r="0" b="0"/>
          <wp:docPr id="4" name="Logo_Hoja car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oja car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275" cy="717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7394"/>
    <w:multiLevelType w:val="hybridMultilevel"/>
    <w:tmpl w:val="6E4E05F0"/>
    <w:lvl w:ilvl="0" w:tplc="271A7C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7ACF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8A89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A256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9C24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E293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2475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0AB2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A40C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E3A6856"/>
    <w:multiLevelType w:val="hybridMultilevel"/>
    <w:tmpl w:val="4B22C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B6BD9"/>
    <w:multiLevelType w:val="hybridMultilevel"/>
    <w:tmpl w:val="7B3659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D7A41"/>
    <w:multiLevelType w:val="hybridMultilevel"/>
    <w:tmpl w:val="DAAC98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55C86"/>
    <w:multiLevelType w:val="hybridMultilevel"/>
    <w:tmpl w:val="839C80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34D93"/>
    <w:multiLevelType w:val="hybridMultilevel"/>
    <w:tmpl w:val="E5E40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646636">
    <w:abstractNumId w:val="4"/>
  </w:num>
  <w:num w:numId="2" w16cid:durableId="719742880">
    <w:abstractNumId w:val="2"/>
  </w:num>
  <w:num w:numId="3" w16cid:durableId="303511563">
    <w:abstractNumId w:val="3"/>
  </w:num>
  <w:num w:numId="4" w16cid:durableId="529682927">
    <w:abstractNumId w:val="0"/>
  </w:num>
  <w:num w:numId="5" w16cid:durableId="1051806767">
    <w:abstractNumId w:val="1"/>
  </w:num>
  <w:num w:numId="6" w16cid:durableId="1844663427">
    <w:abstractNumId w:val="5"/>
  </w:num>
  <w:num w:numId="7" w16cid:durableId="1991472537">
    <w:abstractNumId w:val="5"/>
  </w:num>
  <w:num w:numId="8" w16cid:durableId="1886485610">
    <w:abstractNumId w:val="5"/>
  </w:num>
  <w:num w:numId="9" w16cid:durableId="1177497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E2"/>
    <w:rsid w:val="00004ECB"/>
    <w:rsid w:val="00007D86"/>
    <w:rsid w:val="00010CC9"/>
    <w:rsid w:val="000153F8"/>
    <w:rsid w:val="000339F7"/>
    <w:rsid w:val="00034A44"/>
    <w:rsid w:val="00043B8B"/>
    <w:rsid w:val="00045481"/>
    <w:rsid w:val="00053CA7"/>
    <w:rsid w:val="00055423"/>
    <w:rsid w:val="00055D2E"/>
    <w:rsid w:val="000564F6"/>
    <w:rsid w:val="000632E1"/>
    <w:rsid w:val="00064A96"/>
    <w:rsid w:val="00064CCD"/>
    <w:rsid w:val="000667C5"/>
    <w:rsid w:val="0007688D"/>
    <w:rsid w:val="00077328"/>
    <w:rsid w:val="00081486"/>
    <w:rsid w:val="00087445"/>
    <w:rsid w:val="00091804"/>
    <w:rsid w:val="000956CF"/>
    <w:rsid w:val="00096708"/>
    <w:rsid w:val="000A088E"/>
    <w:rsid w:val="000A12AC"/>
    <w:rsid w:val="000A243F"/>
    <w:rsid w:val="000A5D86"/>
    <w:rsid w:val="000A682B"/>
    <w:rsid w:val="000A7035"/>
    <w:rsid w:val="000B1DB2"/>
    <w:rsid w:val="000B288C"/>
    <w:rsid w:val="000C246F"/>
    <w:rsid w:val="000C3AD4"/>
    <w:rsid w:val="000C3C8F"/>
    <w:rsid w:val="000C59C0"/>
    <w:rsid w:val="000C719F"/>
    <w:rsid w:val="000C7933"/>
    <w:rsid w:val="000F1B92"/>
    <w:rsid w:val="000F5D8A"/>
    <w:rsid w:val="000F6E5D"/>
    <w:rsid w:val="00105003"/>
    <w:rsid w:val="0010511F"/>
    <w:rsid w:val="00106F46"/>
    <w:rsid w:val="00110906"/>
    <w:rsid w:val="00116D23"/>
    <w:rsid w:val="00126D87"/>
    <w:rsid w:val="001352A9"/>
    <w:rsid w:val="001360EC"/>
    <w:rsid w:val="00140254"/>
    <w:rsid w:val="00142391"/>
    <w:rsid w:val="00142A54"/>
    <w:rsid w:val="00145F34"/>
    <w:rsid w:val="00154858"/>
    <w:rsid w:val="00163990"/>
    <w:rsid w:val="00166E71"/>
    <w:rsid w:val="00167C84"/>
    <w:rsid w:val="00170787"/>
    <w:rsid w:val="001714C2"/>
    <w:rsid w:val="001728C3"/>
    <w:rsid w:val="00183EDF"/>
    <w:rsid w:val="00184292"/>
    <w:rsid w:val="001855C9"/>
    <w:rsid w:val="00185B74"/>
    <w:rsid w:val="00186FA9"/>
    <w:rsid w:val="00190159"/>
    <w:rsid w:val="00191A88"/>
    <w:rsid w:val="00194604"/>
    <w:rsid w:val="00195D81"/>
    <w:rsid w:val="001A4B25"/>
    <w:rsid w:val="001A4D96"/>
    <w:rsid w:val="001B0E60"/>
    <w:rsid w:val="001B189A"/>
    <w:rsid w:val="001B215E"/>
    <w:rsid w:val="001B731A"/>
    <w:rsid w:val="001C0746"/>
    <w:rsid w:val="001C2578"/>
    <w:rsid w:val="001C26E4"/>
    <w:rsid w:val="001C6BCD"/>
    <w:rsid w:val="001D17E7"/>
    <w:rsid w:val="001D260D"/>
    <w:rsid w:val="001D3407"/>
    <w:rsid w:val="001D4899"/>
    <w:rsid w:val="001E0F23"/>
    <w:rsid w:val="001E29D4"/>
    <w:rsid w:val="001E3281"/>
    <w:rsid w:val="001E4629"/>
    <w:rsid w:val="001E4C63"/>
    <w:rsid w:val="001E4FE3"/>
    <w:rsid w:val="001E7B91"/>
    <w:rsid w:val="001F2BDC"/>
    <w:rsid w:val="001F2F40"/>
    <w:rsid w:val="001F36ED"/>
    <w:rsid w:val="00201675"/>
    <w:rsid w:val="00205738"/>
    <w:rsid w:val="00217E54"/>
    <w:rsid w:val="0022286B"/>
    <w:rsid w:val="002243F5"/>
    <w:rsid w:val="002249F6"/>
    <w:rsid w:val="00225133"/>
    <w:rsid w:val="00227C71"/>
    <w:rsid w:val="002303E8"/>
    <w:rsid w:val="00235403"/>
    <w:rsid w:val="0024022A"/>
    <w:rsid w:val="00242EE2"/>
    <w:rsid w:val="002504B6"/>
    <w:rsid w:val="002557CC"/>
    <w:rsid w:val="00255A92"/>
    <w:rsid w:val="00256183"/>
    <w:rsid w:val="00264B2B"/>
    <w:rsid w:val="002707DE"/>
    <w:rsid w:val="00281D0C"/>
    <w:rsid w:val="002855BB"/>
    <w:rsid w:val="00290EE2"/>
    <w:rsid w:val="00292807"/>
    <w:rsid w:val="00297A7C"/>
    <w:rsid w:val="002A0BF3"/>
    <w:rsid w:val="002A5B93"/>
    <w:rsid w:val="002A63D5"/>
    <w:rsid w:val="002A7F43"/>
    <w:rsid w:val="002B103A"/>
    <w:rsid w:val="002B212C"/>
    <w:rsid w:val="002B5069"/>
    <w:rsid w:val="002B77D2"/>
    <w:rsid w:val="002C0C7D"/>
    <w:rsid w:val="002C7177"/>
    <w:rsid w:val="002D65B1"/>
    <w:rsid w:val="002D6FE5"/>
    <w:rsid w:val="002E1B8A"/>
    <w:rsid w:val="002E1F9D"/>
    <w:rsid w:val="002E2ADB"/>
    <w:rsid w:val="002E3CA8"/>
    <w:rsid w:val="002E46E4"/>
    <w:rsid w:val="002F0832"/>
    <w:rsid w:val="002F09B1"/>
    <w:rsid w:val="002F583C"/>
    <w:rsid w:val="0030018F"/>
    <w:rsid w:val="0030034E"/>
    <w:rsid w:val="003018C8"/>
    <w:rsid w:val="003023E8"/>
    <w:rsid w:val="00306716"/>
    <w:rsid w:val="00306EBC"/>
    <w:rsid w:val="00312214"/>
    <w:rsid w:val="003130E0"/>
    <w:rsid w:val="003139D2"/>
    <w:rsid w:val="00313CD8"/>
    <w:rsid w:val="003207AF"/>
    <w:rsid w:val="00321C08"/>
    <w:rsid w:val="003228AD"/>
    <w:rsid w:val="003308C7"/>
    <w:rsid w:val="00346117"/>
    <w:rsid w:val="00346A16"/>
    <w:rsid w:val="003531F0"/>
    <w:rsid w:val="00371275"/>
    <w:rsid w:val="003733EE"/>
    <w:rsid w:val="00375787"/>
    <w:rsid w:val="00375BF2"/>
    <w:rsid w:val="00383727"/>
    <w:rsid w:val="00383D00"/>
    <w:rsid w:val="00391454"/>
    <w:rsid w:val="003A55A3"/>
    <w:rsid w:val="003B03A5"/>
    <w:rsid w:val="003B4DFF"/>
    <w:rsid w:val="003B4E5E"/>
    <w:rsid w:val="003B6215"/>
    <w:rsid w:val="003C21E7"/>
    <w:rsid w:val="003D0491"/>
    <w:rsid w:val="003D0BB8"/>
    <w:rsid w:val="003D19D1"/>
    <w:rsid w:val="003D574C"/>
    <w:rsid w:val="003D77B3"/>
    <w:rsid w:val="003F6B7F"/>
    <w:rsid w:val="003F6DEE"/>
    <w:rsid w:val="00404265"/>
    <w:rsid w:val="00406E95"/>
    <w:rsid w:val="0040766F"/>
    <w:rsid w:val="00413443"/>
    <w:rsid w:val="0041358A"/>
    <w:rsid w:val="004174BB"/>
    <w:rsid w:val="00417551"/>
    <w:rsid w:val="004326B5"/>
    <w:rsid w:val="00432F3B"/>
    <w:rsid w:val="0043356A"/>
    <w:rsid w:val="00442502"/>
    <w:rsid w:val="004470D7"/>
    <w:rsid w:val="00451A29"/>
    <w:rsid w:val="0046196A"/>
    <w:rsid w:val="00461A15"/>
    <w:rsid w:val="004743D5"/>
    <w:rsid w:val="004813C8"/>
    <w:rsid w:val="00486C08"/>
    <w:rsid w:val="00487A41"/>
    <w:rsid w:val="00487F2F"/>
    <w:rsid w:val="004A322D"/>
    <w:rsid w:val="004A53EB"/>
    <w:rsid w:val="004A7F3F"/>
    <w:rsid w:val="004B113C"/>
    <w:rsid w:val="004B2B3B"/>
    <w:rsid w:val="004B3F33"/>
    <w:rsid w:val="004B43CE"/>
    <w:rsid w:val="004B67C4"/>
    <w:rsid w:val="004C1D53"/>
    <w:rsid w:val="004C3EA8"/>
    <w:rsid w:val="004D1FA4"/>
    <w:rsid w:val="004D3C8C"/>
    <w:rsid w:val="004D6823"/>
    <w:rsid w:val="004D736E"/>
    <w:rsid w:val="004D7884"/>
    <w:rsid w:val="004E38F7"/>
    <w:rsid w:val="004E4294"/>
    <w:rsid w:val="004E4538"/>
    <w:rsid w:val="004E76C2"/>
    <w:rsid w:val="004E7D33"/>
    <w:rsid w:val="004F4C1B"/>
    <w:rsid w:val="004F5EEE"/>
    <w:rsid w:val="005013CE"/>
    <w:rsid w:val="00502E4F"/>
    <w:rsid w:val="00507E0A"/>
    <w:rsid w:val="00511119"/>
    <w:rsid w:val="00517A5D"/>
    <w:rsid w:val="005223B3"/>
    <w:rsid w:val="00523372"/>
    <w:rsid w:val="00524F42"/>
    <w:rsid w:val="005425AC"/>
    <w:rsid w:val="00545E51"/>
    <w:rsid w:val="00545FCA"/>
    <w:rsid w:val="00547363"/>
    <w:rsid w:val="00551CAA"/>
    <w:rsid w:val="0056018C"/>
    <w:rsid w:val="00562E4B"/>
    <w:rsid w:val="005815FC"/>
    <w:rsid w:val="00583802"/>
    <w:rsid w:val="005860DB"/>
    <w:rsid w:val="00593077"/>
    <w:rsid w:val="00596EA6"/>
    <w:rsid w:val="005B07AC"/>
    <w:rsid w:val="005B2C5F"/>
    <w:rsid w:val="005B4654"/>
    <w:rsid w:val="005B5B78"/>
    <w:rsid w:val="005C27BE"/>
    <w:rsid w:val="005D09B0"/>
    <w:rsid w:val="005D212D"/>
    <w:rsid w:val="005D2D86"/>
    <w:rsid w:val="005D5430"/>
    <w:rsid w:val="005D634B"/>
    <w:rsid w:val="005E0BEB"/>
    <w:rsid w:val="005E1D5B"/>
    <w:rsid w:val="005E3C52"/>
    <w:rsid w:val="005F0B86"/>
    <w:rsid w:val="005F54AE"/>
    <w:rsid w:val="005F664C"/>
    <w:rsid w:val="00610B0B"/>
    <w:rsid w:val="00614B92"/>
    <w:rsid w:val="00614E8C"/>
    <w:rsid w:val="00615B8A"/>
    <w:rsid w:val="00617725"/>
    <w:rsid w:val="00620577"/>
    <w:rsid w:val="00621B7F"/>
    <w:rsid w:val="006242FC"/>
    <w:rsid w:val="00625068"/>
    <w:rsid w:val="006268DB"/>
    <w:rsid w:val="00627A72"/>
    <w:rsid w:val="0064069F"/>
    <w:rsid w:val="00641852"/>
    <w:rsid w:val="00643BFE"/>
    <w:rsid w:val="0064610F"/>
    <w:rsid w:val="00647CEF"/>
    <w:rsid w:val="006556D5"/>
    <w:rsid w:val="00656B24"/>
    <w:rsid w:val="00662158"/>
    <w:rsid w:val="00666331"/>
    <w:rsid w:val="00666BFA"/>
    <w:rsid w:val="00670B2B"/>
    <w:rsid w:val="00672826"/>
    <w:rsid w:val="00673348"/>
    <w:rsid w:val="00676C2C"/>
    <w:rsid w:val="00677534"/>
    <w:rsid w:val="00685080"/>
    <w:rsid w:val="00687958"/>
    <w:rsid w:val="006909D7"/>
    <w:rsid w:val="006970C8"/>
    <w:rsid w:val="006A03C3"/>
    <w:rsid w:val="006B78A1"/>
    <w:rsid w:val="006D383F"/>
    <w:rsid w:val="006D5C4A"/>
    <w:rsid w:val="006E19AC"/>
    <w:rsid w:val="006E353E"/>
    <w:rsid w:val="006E745D"/>
    <w:rsid w:val="006F0162"/>
    <w:rsid w:val="006F5EA2"/>
    <w:rsid w:val="006F7AE9"/>
    <w:rsid w:val="00700138"/>
    <w:rsid w:val="00713C57"/>
    <w:rsid w:val="0071486A"/>
    <w:rsid w:val="00717E85"/>
    <w:rsid w:val="0072631D"/>
    <w:rsid w:val="0072681B"/>
    <w:rsid w:val="007270DB"/>
    <w:rsid w:val="007278FF"/>
    <w:rsid w:val="00733961"/>
    <w:rsid w:val="00734E62"/>
    <w:rsid w:val="00735A5D"/>
    <w:rsid w:val="00740525"/>
    <w:rsid w:val="00740989"/>
    <w:rsid w:val="00744A23"/>
    <w:rsid w:val="00746584"/>
    <w:rsid w:val="007516B8"/>
    <w:rsid w:val="00751C4E"/>
    <w:rsid w:val="00756989"/>
    <w:rsid w:val="00760F99"/>
    <w:rsid w:val="007615B5"/>
    <w:rsid w:val="007719DA"/>
    <w:rsid w:val="0077354A"/>
    <w:rsid w:val="00773885"/>
    <w:rsid w:val="00776D6B"/>
    <w:rsid w:val="00784AB3"/>
    <w:rsid w:val="007A019A"/>
    <w:rsid w:val="007A10F4"/>
    <w:rsid w:val="007A139B"/>
    <w:rsid w:val="007A2044"/>
    <w:rsid w:val="007A2263"/>
    <w:rsid w:val="007A259B"/>
    <w:rsid w:val="007A67F7"/>
    <w:rsid w:val="007A7C18"/>
    <w:rsid w:val="007B7263"/>
    <w:rsid w:val="007C1389"/>
    <w:rsid w:val="007C3460"/>
    <w:rsid w:val="007C4AA3"/>
    <w:rsid w:val="007D5144"/>
    <w:rsid w:val="007D5218"/>
    <w:rsid w:val="007D73B5"/>
    <w:rsid w:val="007E270D"/>
    <w:rsid w:val="007E5443"/>
    <w:rsid w:val="00802A62"/>
    <w:rsid w:val="00812194"/>
    <w:rsid w:val="00814554"/>
    <w:rsid w:val="008150D9"/>
    <w:rsid w:val="00815899"/>
    <w:rsid w:val="00840086"/>
    <w:rsid w:val="0084073B"/>
    <w:rsid w:val="00841BE7"/>
    <w:rsid w:val="008438CE"/>
    <w:rsid w:val="008461DA"/>
    <w:rsid w:val="008515A7"/>
    <w:rsid w:val="00851E99"/>
    <w:rsid w:val="00857FFC"/>
    <w:rsid w:val="00861B68"/>
    <w:rsid w:val="00862419"/>
    <w:rsid w:val="00864A09"/>
    <w:rsid w:val="00866C0F"/>
    <w:rsid w:val="00867AF1"/>
    <w:rsid w:val="00870258"/>
    <w:rsid w:val="0087747C"/>
    <w:rsid w:val="00881E99"/>
    <w:rsid w:val="008823A0"/>
    <w:rsid w:val="00885B41"/>
    <w:rsid w:val="008920EF"/>
    <w:rsid w:val="008967AA"/>
    <w:rsid w:val="008A5B29"/>
    <w:rsid w:val="008B030A"/>
    <w:rsid w:val="008B3CA8"/>
    <w:rsid w:val="008B56B4"/>
    <w:rsid w:val="008B69A8"/>
    <w:rsid w:val="008C77C5"/>
    <w:rsid w:val="008E02ED"/>
    <w:rsid w:val="008E2169"/>
    <w:rsid w:val="008E268E"/>
    <w:rsid w:val="008E4E08"/>
    <w:rsid w:val="008F0811"/>
    <w:rsid w:val="008F3712"/>
    <w:rsid w:val="008F4BC6"/>
    <w:rsid w:val="008F6872"/>
    <w:rsid w:val="0090246B"/>
    <w:rsid w:val="00903A45"/>
    <w:rsid w:val="0090600B"/>
    <w:rsid w:val="0092021E"/>
    <w:rsid w:val="00926E99"/>
    <w:rsid w:val="009314B4"/>
    <w:rsid w:val="00942BB5"/>
    <w:rsid w:val="0094527F"/>
    <w:rsid w:val="00946C4E"/>
    <w:rsid w:val="00946F19"/>
    <w:rsid w:val="009538B1"/>
    <w:rsid w:val="00956F52"/>
    <w:rsid w:val="00964552"/>
    <w:rsid w:val="0096567B"/>
    <w:rsid w:val="00967D59"/>
    <w:rsid w:val="009717E5"/>
    <w:rsid w:val="00975BEF"/>
    <w:rsid w:val="00983BA1"/>
    <w:rsid w:val="009A2C81"/>
    <w:rsid w:val="009A3A7F"/>
    <w:rsid w:val="009A4970"/>
    <w:rsid w:val="009B3170"/>
    <w:rsid w:val="009D1750"/>
    <w:rsid w:val="009D1BD3"/>
    <w:rsid w:val="009E3678"/>
    <w:rsid w:val="009E6083"/>
    <w:rsid w:val="009E74A3"/>
    <w:rsid w:val="009F19A4"/>
    <w:rsid w:val="009F1AF6"/>
    <w:rsid w:val="009F3783"/>
    <w:rsid w:val="009F6BE7"/>
    <w:rsid w:val="00A005BB"/>
    <w:rsid w:val="00A01877"/>
    <w:rsid w:val="00A14AC2"/>
    <w:rsid w:val="00A34E64"/>
    <w:rsid w:val="00A362A5"/>
    <w:rsid w:val="00A37082"/>
    <w:rsid w:val="00A42FD4"/>
    <w:rsid w:val="00A4336E"/>
    <w:rsid w:val="00A4503A"/>
    <w:rsid w:val="00A5181E"/>
    <w:rsid w:val="00A55867"/>
    <w:rsid w:val="00A55C89"/>
    <w:rsid w:val="00A57F67"/>
    <w:rsid w:val="00A6126A"/>
    <w:rsid w:val="00A631E9"/>
    <w:rsid w:val="00A64120"/>
    <w:rsid w:val="00A72B30"/>
    <w:rsid w:val="00A73187"/>
    <w:rsid w:val="00A76EB2"/>
    <w:rsid w:val="00AA0701"/>
    <w:rsid w:val="00AA35A0"/>
    <w:rsid w:val="00AA5EAA"/>
    <w:rsid w:val="00AB3E1E"/>
    <w:rsid w:val="00AC1E51"/>
    <w:rsid w:val="00AC470F"/>
    <w:rsid w:val="00AC5632"/>
    <w:rsid w:val="00AD48B3"/>
    <w:rsid w:val="00AD492B"/>
    <w:rsid w:val="00AD6FBD"/>
    <w:rsid w:val="00AF0A34"/>
    <w:rsid w:val="00AF1001"/>
    <w:rsid w:val="00AF1E89"/>
    <w:rsid w:val="00AF5618"/>
    <w:rsid w:val="00AF5762"/>
    <w:rsid w:val="00B065FB"/>
    <w:rsid w:val="00B147EA"/>
    <w:rsid w:val="00B30E6E"/>
    <w:rsid w:val="00B32A63"/>
    <w:rsid w:val="00B33DF5"/>
    <w:rsid w:val="00B35625"/>
    <w:rsid w:val="00B42C2A"/>
    <w:rsid w:val="00B42FED"/>
    <w:rsid w:val="00B436F2"/>
    <w:rsid w:val="00B527CD"/>
    <w:rsid w:val="00B5304C"/>
    <w:rsid w:val="00B53A46"/>
    <w:rsid w:val="00B5488F"/>
    <w:rsid w:val="00B60F9F"/>
    <w:rsid w:val="00B61D11"/>
    <w:rsid w:val="00B64C2D"/>
    <w:rsid w:val="00B70B28"/>
    <w:rsid w:val="00B734EC"/>
    <w:rsid w:val="00B75A57"/>
    <w:rsid w:val="00B849EF"/>
    <w:rsid w:val="00B85659"/>
    <w:rsid w:val="00B90DC9"/>
    <w:rsid w:val="00BA40FF"/>
    <w:rsid w:val="00BA4984"/>
    <w:rsid w:val="00BC1016"/>
    <w:rsid w:val="00BC34AB"/>
    <w:rsid w:val="00BD17C5"/>
    <w:rsid w:val="00BD1F8B"/>
    <w:rsid w:val="00BD5600"/>
    <w:rsid w:val="00BD6827"/>
    <w:rsid w:val="00BD6AA3"/>
    <w:rsid w:val="00BE20D6"/>
    <w:rsid w:val="00BF3756"/>
    <w:rsid w:val="00BF54FA"/>
    <w:rsid w:val="00C01477"/>
    <w:rsid w:val="00C049F6"/>
    <w:rsid w:val="00C07188"/>
    <w:rsid w:val="00C104C4"/>
    <w:rsid w:val="00C1260F"/>
    <w:rsid w:val="00C13819"/>
    <w:rsid w:val="00C14959"/>
    <w:rsid w:val="00C22304"/>
    <w:rsid w:val="00C27173"/>
    <w:rsid w:val="00C30C5E"/>
    <w:rsid w:val="00C31720"/>
    <w:rsid w:val="00C366A3"/>
    <w:rsid w:val="00C404DD"/>
    <w:rsid w:val="00C434FA"/>
    <w:rsid w:val="00C4449A"/>
    <w:rsid w:val="00C44AF1"/>
    <w:rsid w:val="00C45FAE"/>
    <w:rsid w:val="00C50B6F"/>
    <w:rsid w:val="00C51190"/>
    <w:rsid w:val="00C54DEE"/>
    <w:rsid w:val="00C56661"/>
    <w:rsid w:val="00C568A7"/>
    <w:rsid w:val="00C639E9"/>
    <w:rsid w:val="00C6633D"/>
    <w:rsid w:val="00C67AE4"/>
    <w:rsid w:val="00C67B07"/>
    <w:rsid w:val="00C72516"/>
    <w:rsid w:val="00C80299"/>
    <w:rsid w:val="00C81733"/>
    <w:rsid w:val="00C83355"/>
    <w:rsid w:val="00C8347D"/>
    <w:rsid w:val="00C84CF1"/>
    <w:rsid w:val="00C91F90"/>
    <w:rsid w:val="00C92492"/>
    <w:rsid w:val="00C929B9"/>
    <w:rsid w:val="00C9320E"/>
    <w:rsid w:val="00C94773"/>
    <w:rsid w:val="00C97166"/>
    <w:rsid w:val="00C97378"/>
    <w:rsid w:val="00CA34A1"/>
    <w:rsid w:val="00CA360B"/>
    <w:rsid w:val="00CA4FB3"/>
    <w:rsid w:val="00CB248C"/>
    <w:rsid w:val="00CB6569"/>
    <w:rsid w:val="00CC1BB2"/>
    <w:rsid w:val="00CD7D19"/>
    <w:rsid w:val="00CE212B"/>
    <w:rsid w:val="00CE2159"/>
    <w:rsid w:val="00CE4571"/>
    <w:rsid w:val="00CE78D9"/>
    <w:rsid w:val="00CF5D37"/>
    <w:rsid w:val="00D01D5D"/>
    <w:rsid w:val="00D04058"/>
    <w:rsid w:val="00D04F88"/>
    <w:rsid w:val="00D159AA"/>
    <w:rsid w:val="00D15DD5"/>
    <w:rsid w:val="00D2012B"/>
    <w:rsid w:val="00D268B2"/>
    <w:rsid w:val="00D34D81"/>
    <w:rsid w:val="00D35D7A"/>
    <w:rsid w:val="00D36447"/>
    <w:rsid w:val="00D433AC"/>
    <w:rsid w:val="00D44813"/>
    <w:rsid w:val="00D518AD"/>
    <w:rsid w:val="00D5484F"/>
    <w:rsid w:val="00D62DC4"/>
    <w:rsid w:val="00D656E9"/>
    <w:rsid w:val="00D677DA"/>
    <w:rsid w:val="00D70889"/>
    <w:rsid w:val="00D72018"/>
    <w:rsid w:val="00D7209A"/>
    <w:rsid w:val="00D74B11"/>
    <w:rsid w:val="00D764CF"/>
    <w:rsid w:val="00D867A0"/>
    <w:rsid w:val="00D97145"/>
    <w:rsid w:val="00DA590A"/>
    <w:rsid w:val="00DB208F"/>
    <w:rsid w:val="00DB3945"/>
    <w:rsid w:val="00DB7042"/>
    <w:rsid w:val="00DB7DD1"/>
    <w:rsid w:val="00DC068E"/>
    <w:rsid w:val="00DC5728"/>
    <w:rsid w:val="00DC648E"/>
    <w:rsid w:val="00DC6D0E"/>
    <w:rsid w:val="00DC7743"/>
    <w:rsid w:val="00DD1974"/>
    <w:rsid w:val="00DD2E75"/>
    <w:rsid w:val="00DD3592"/>
    <w:rsid w:val="00DD5A35"/>
    <w:rsid w:val="00DD6F52"/>
    <w:rsid w:val="00DF50AE"/>
    <w:rsid w:val="00E03DB8"/>
    <w:rsid w:val="00E07F02"/>
    <w:rsid w:val="00E1508D"/>
    <w:rsid w:val="00E1517A"/>
    <w:rsid w:val="00E20257"/>
    <w:rsid w:val="00E21346"/>
    <w:rsid w:val="00E22395"/>
    <w:rsid w:val="00E261DD"/>
    <w:rsid w:val="00E41810"/>
    <w:rsid w:val="00E42736"/>
    <w:rsid w:val="00E4747B"/>
    <w:rsid w:val="00E51202"/>
    <w:rsid w:val="00E527B6"/>
    <w:rsid w:val="00E56F25"/>
    <w:rsid w:val="00E57338"/>
    <w:rsid w:val="00E61BFF"/>
    <w:rsid w:val="00E70D5D"/>
    <w:rsid w:val="00E73800"/>
    <w:rsid w:val="00E7593F"/>
    <w:rsid w:val="00E83D13"/>
    <w:rsid w:val="00E87A17"/>
    <w:rsid w:val="00E87AB6"/>
    <w:rsid w:val="00EA09EF"/>
    <w:rsid w:val="00EA19B2"/>
    <w:rsid w:val="00EA3967"/>
    <w:rsid w:val="00EA48A5"/>
    <w:rsid w:val="00EA719C"/>
    <w:rsid w:val="00EB1994"/>
    <w:rsid w:val="00EB288F"/>
    <w:rsid w:val="00EB7D6F"/>
    <w:rsid w:val="00EC6914"/>
    <w:rsid w:val="00ED332C"/>
    <w:rsid w:val="00EE5DE0"/>
    <w:rsid w:val="00EF5A0A"/>
    <w:rsid w:val="00EF7479"/>
    <w:rsid w:val="00F00C0C"/>
    <w:rsid w:val="00F07E0B"/>
    <w:rsid w:val="00F12CA4"/>
    <w:rsid w:val="00F22679"/>
    <w:rsid w:val="00F243C6"/>
    <w:rsid w:val="00F24E42"/>
    <w:rsid w:val="00F34CC6"/>
    <w:rsid w:val="00F42B6B"/>
    <w:rsid w:val="00F45D0F"/>
    <w:rsid w:val="00F472B1"/>
    <w:rsid w:val="00F614BF"/>
    <w:rsid w:val="00F66154"/>
    <w:rsid w:val="00F8087A"/>
    <w:rsid w:val="00F80B86"/>
    <w:rsid w:val="00F83629"/>
    <w:rsid w:val="00F84278"/>
    <w:rsid w:val="00F86BC3"/>
    <w:rsid w:val="00F900BB"/>
    <w:rsid w:val="00F90D99"/>
    <w:rsid w:val="00F9161A"/>
    <w:rsid w:val="00F928E4"/>
    <w:rsid w:val="00F944ED"/>
    <w:rsid w:val="00FA0230"/>
    <w:rsid w:val="00FA18C6"/>
    <w:rsid w:val="00FA5E8A"/>
    <w:rsid w:val="00FA674D"/>
    <w:rsid w:val="00FB13A2"/>
    <w:rsid w:val="00FC7E13"/>
    <w:rsid w:val="00FD12E8"/>
    <w:rsid w:val="00FD2420"/>
    <w:rsid w:val="00FD3C42"/>
    <w:rsid w:val="00FD4FFC"/>
    <w:rsid w:val="00FE51B6"/>
    <w:rsid w:val="00FF4D0D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F7303C"/>
  <w14:defaultImageDpi w14:val="300"/>
  <w15:docId w15:val="{973E96A0-933E-4C63-8996-F1EB7850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C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E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2EE2"/>
  </w:style>
  <w:style w:type="paragraph" w:styleId="Piedepgina">
    <w:name w:val="footer"/>
    <w:basedOn w:val="Normal"/>
    <w:link w:val="PiedepginaCar"/>
    <w:uiPriority w:val="99"/>
    <w:unhideWhenUsed/>
    <w:rsid w:val="00242E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2EE2"/>
  </w:style>
  <w:style w:type="paragraph" w:styleId="Textodeglobo">
    <w:name w:val="Balloon Text"/>
    <w:basedOn w:val="Normal"/>
    <w:link w:val="TextodegloboCar"/>
    <w:uiPriority w:val="99"/>
    <w:semiHidden/>
    <w:unhideWhenUsed/>
    <w:rsid w:val="00242EE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2EE2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6E745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720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7201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720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20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2018"/>
    <w:rPr>
      <w:b/>
      <w:bCs/>
      <w:sz w:val="20"/>
      <w:szCs w:val="20"/>
    </w:rPr>
  </w:style>
  <w:style w:type="paragraph" w:customStyle="1" w:styleId="Default">
    <w:name w:val="Default"/>
    <w:rsid w:val="004C1D53"/>
    <w:pPr>
      <w:autoSpaceDE w:val="0"/>
      <w:autoSpaceDN w:val="0"/>
      <w:adjustRightInd w:val="0"/>
    </w:pPr>
    <w:rPr>
      <w:rFonts w:ascii="Calibri" w:hAnsi="Calibri" w:cs="Calibri"/>
      <w:color w:val="000000"/>
      <w:lang w:val="es-CL"/>
    </w:rPr>
  </w:style>
  <w:style w:type="table" w:styleId="Listaclara">
    <w:name w:val="Light List"/>
    <w:basedOn w:val="Tablanormal"/>
    <w:uiPriority w:val="61"/>
    <w:rsid w:val="00621B7F"/>
    <w:rPr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9314B4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2F583C"/>
    <w:pPr>
      <w:jc w:val="both"/>
    </w:pPr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TextoindependienteCar">
    <w:name w:val="Texto independiente Car"/>
    <w:basedOn w:val="Fuentedeprrafopredeter"/>
    <w:link w:val="Textoindependiente"/>
    <w:rsid w:val="002F583C"/>
    <w:rPr>
      <w:rFonts w:ascii="Arial" w:eastAsia="Times New Roman" w:hAnsi="Arial" w:cs="Times New Roman"/>
      <w:sz w:val="18"/>
      <w:szCs w:val="20"/>
      <w:lang w:val="en-GB" w:eastAsia="en-GB"/>
    </w:rPr>
  </w:style>
  <w:style w:type="paragraph" w:styleId="Revisin">
    <w:name w:val="Revision"/>
    <w:hidden/>
    <w:uiPriority w:val="99"/>
    <w:semiHidden/>
    <w:rsid w:val="00C83355"/>
  </w:style>
  <w:style w:type="paragraph" w:styleId="Textonotapie">
    <w:name w:val="footnote text"/>
    <w:basedOn w:val="Normal"/>
    <w:link w:val="TextonotapieCar"/>
    <w:uiPriority w:val="99"/>
    <w:semiHidden/>
    <w:unhideWhenUsed/>
    <w:rsid w:val="00627A72"/>
    <w:rPr>
      <w:rFonts w:ascii="Calibri" w:eastAsia="Times New Roman" w:hAnsi="Calibri" w:cs="Times New Roman"/>
      <w:sz w:val="20"/>
      <w:szCs w:val="20"/>
      <w:lang w:val="en-GB" w:eastAsia="en-GB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27A72"/>
    <w:rPr>
      <w:rFonts w:ascii="Calibri" w:eastAsia="Times New Roman" w:hAnsi="Calibri" w:cs="Times New Roman"/>
      <w:sz w:val="20"/>
      <w:szCs w:val="20"/>
      <w:lang w:val="en-GB" w:eastAsia="en-GB"/>
    </w:rPr>
  </w:style>
  <w:style w:type="character" w:styleId="Refdenotaalpie">
    <w:name w:val="footnote reference"/>
    <w:uiPriority w:val="99"/>
    <w:semiHidden/>
    <w:unhideWhenUsed/>
    <w:rsid w:val="00627A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0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02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39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868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974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25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017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057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997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219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8B9EF95BD6EE4188FBD660E12A6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43548-9908-6C47-9B21-8479D2E7F773}"/>
      </w:docPartPr>
      <w:docPartBody>
        <w:p w:rsidR="003012F1" w:rsidRDefault="002C3654" w:rsidP="002C3654">
          <w:pPr>
            <w:pStyle w:val="DC8B9EF95BD6EE4188FBD660E12A611C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D97AD44C4EC8E6458132BE32CACE2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9C352-3063-FA4F-83E8-00E5B2AC8EC3}"/>
      </w:docPartPr>
      <w:docPartBody>
        <w:p w:rsidR="003012F1" w:rsidRDefault="002C3654" w:rsidP="002C3654">
          <w:pPr>
            <w:pStyle w:val="D97AD44C4EC8E6458132BE32CACE2231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E3693006B084AC499F211AC1186E7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17259-27E9-ED48-90DD-8483F6804802}"/>
      </w:docPartPr>
      <w:docPartBody>
        <w:p w:rsidR="003012F1" w:rsidRDefault="002C3654" w:rsidP="002C3654">
          <w:pPr>
            <w:pStyle w:val="E3693006B084AC499F211AC1186E7C2E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654"/>
    <w:rsid w:val="00080C62"/>
    <w:rsid w:val="0009328B"/>
    <w:rsid w:val="000B3C76"/>
    <w:rsid w:val="000B6B65"/>
    <w:rsid w:val="000C7DE6"/>
    <w:rsid w:val="000D55C7"/>
    <w:rsid w:val="00111379"/>
    <w:rsid w:val="00152B92"/>
    <w:rsid w:val="0015352B"/>
    <w:rsid w:val="001802F1"/>
    <w:rsid w:val="00191A88"/>
    <w:rsid w:val="001E190D"/>
    <w:rsid w:val="00227B09"/>
    <w:rsid w:val="0029614E"/>
    <w:rsid w:val="002A168A"/>
    <w:rsid w:val="002A3949"/>
    <w:rsid w:val="002C3654"/>
    <w:rsid w:val="002D6F04"/>
    <w:rsid w:val="003012F1"/>
    <w:rsid w:val="003D1694"/>
    <w:rsid w:val="004326B5"/>
    <w:rsid w:val="00464333"/>
    <w:rsid w:val="004813C8"/>
    <w:rsid w:val="00484716"/>
    <w:rsid w:val="00493A27"/>
    <w:rsid w:val="004F0FEE"/>
    <w:rsid w:val="004F6F4E"/>
    <w:rsid w:val="005120FE"/>
    <w:rsid w:val="00523372"/>
    <w:rsid w:val="00542C29"/>
    <w:rsid w:val="00563036"/>
    <w:rsid w:val="00574BDF"/>
    <w:rsid w:val="00596528"/>
    <w:rsid w:val="005C7B6C"/>
    <w:rsid w:val="005F04FD"/>
    <w:rsid w:val="006049FF"/>
    <w:rsid w:val="00615B8A"/>
    <w:rsid w:val="0061682A"/>
    <w:rsid w:val="0064599D"/>
    <w:rsid w:val="0066353F"/>
    <w:rsid w:val="006C30EB"/>
    <w:rsid w:val="006E0339"/>
    <w:rsid w:val="006E353E"/>
    <w:rsid w:val="006F1FA2"/>
    <w:rsid w:val="00707AC9"/>
    <w:rsid w:val="007270DB"/>
    <w:rsid w:val="00751C4E"/>
    <w:rsid w:val="00776CD5"/>
    <w:rsid w:val="00787A52"/>
    <w:rsid w:val="0079049D"/>
    <w:rsid w:val="007A74BD"/>
    <w:rsid w:val="007A7C18"/>
    <w:rsid w:val="007D34DF"/>
    <w:rsid w:val="007E7AD0"/>
    <w:rsid w:val="0080476C"/>
    <w:rsid w:val="008246DC"/>
    <w:rsid w:val="0092304F"/>
    <w:rsid w:val="009A598A"/>
    <w:rsid w:val="009D1BD3"/>
    <w:rsid w:val="009E4950"/>
    <w:rsid w:val="009F3783"/>
    <w:rsid w:val="00A01877"/>
    <w:rsid w:val="00A26B9C"/>
    <w:rsid w:val="00A77C6A"/>
    <w:rsid w:val="00A83922"/>
    <w:rsid w:val="00AF373C"/>
    <w:rsid w:val="00BE3EDA"/>
    <w:rsid w:val="00C67AE4"/>
    <w:rsid w:val="00C71D1B"/>
    <w:rsid w:val="00C77BA6"/>
    <w:rsid w:val="00C8347D"/>
    <w:rsid w:val="00C97E02"/>
    <w:rsid w:val="00CF6A55"/>
    <w:rsid w:val="00D2429C"/>
    <w:rsid w:val="00D30B3E"/>
    <w:rsid w:val="00D35D7A"/>
    <w:rsid w:val="00D44813"/>
    <w:rsid w:val="00D57C6F"/>
    <w:rsid w:val="00DA2A96"/>
    <w:rsid w:val="00DA2D2F"/>
    <w:rsid w:val="00DC0CA6"/>
    <w:rsid w:val="00DE3671"/>
    <w:rsid w:val="00DE5521"/>
    <w:rsid w:val="00E1537D"/>
    <w:rsid w:val="00E20257"/>
    <w:rsid w:val="00E211F5"/>
    <w:rsid w:val="00E42E8E"/>
    <w:rsid w:val="00E73454"/>
    <w:rsid w:val="00E82590"/>
    <w:rsid w:val="00E96D40"/>
    <w:rsid w:val="00EC4A9C"/>
    <w:rsid w:val="00EC6914"/>
    <w:rsid w:val="00EF57D1"/>
    <w:rsid w:val="00F11731"/>
    <w:rsid w:val="00F402ED"/>
    <w:rsid w:val="00F42C4D"/>
    <w:rsid w:val="00F522D1"/>
    <w:rsid w:val="00F65D66"/>
    <w:rsid w:val="00FA5AB6"/>
    <w:rsid w:val="00FA5E8A"/>
    <w:rsid w:val="00FA72E9"/>
    <w:rsid w:val="00FB58D5"/>
    <w:rsid w:val="00FC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C8B9EF95BD6EE4188FBD660E12A611C">
    <w:name w:val="DC8B9EF95BD6EE4188FBD660E12A611C"/>
    <w:rsid w:val="002C3654"/>
  </w:style>
  <w:style w:type="paragraph" w:customStyle="1" w:styleId="D97AD44C4EC8E6458132BE32CACE2231">
    <w:name w:val="D97AD44C4EC8E6458132BE32CACE2231"/>
    <w:rsid w:val="002C3654"/>
  </w:style>
  <w:style w:type="paragraph" w:customStyle="1" w:styleId="E3693006B084AC499F211AC1186E7C2E">
    <w:name w:val="E3693006B084AC499F211AC1186E7C2E"/>
    <w:rsid w:val="002C36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535A9476A88D45ACAFA2E72610A0F4" ma:contentTypeVersion="14" ma:contentTypeDescription="Crear nuevo documento." ma:contentTypeScope="" ma:versionID="ae6b622e7694538d5c92e5e042731d59">
  <xsd:schema xmlns:xsd="http://www.w3.org/2001/XMLSchema" xmlns:xs="http://www.w3.org/2001/XMLSchema" xmlns:p="http://schemas.microsoft.com/office/2006/metadata/properties" xmlns:ns3="98384715-7d30-48ea-8b2c-195a740dc671" xmlns:ns4="b9fcf984-c77a-435f-a818-c8366f31ed3a" targetNamespace="http://schemas.microsoft.com/office/2006/metadata/properties" ma:root="true" ma:fieldsID="2ca378d13a431e912e9cf3b70056f8ae" ns3:_="" ns4:_="">
    <xsd:import namespace="98384715-7d30-48ea-8b2c-195a740dc671"/>
    <xsd:import namespace="b9fcf984-c77a-435f-a818-c8366f31ed3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84715-7d30-48ea-8b2c-195a740dc6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f984-c77a-435f-a818-c8366f31e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E52ADB-E938-4EA7-AF76-2097C45140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C563D1-3BBC-4166-B8F1-D2982C44B5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D8080D-2025-44D5-A701-8326CB706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84715-7d30-48ea-8b2c-195a740dc671"/>
    <ds:schemaRef ds:uri="b9fcf984-c77a-435f-a818-c8366f31e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27AC54-ED76-4277-9555-26878118E7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789</Words>
  <Characters>4119</Characters>
  <Application>Microsoft Office Word</Application>
  <DocSecurity>0</DocSecurity>
  <Lines>117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Procorp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Seminario</dc:creator>
  <cp:lastModifiedBy>Eduardo Castillo Vouriot</cp:lastModifiedBy>
  <cp:revision>8</cp:revision>
  <cp:lastPrinted>2023-01-18T11:29:00Z</cp:lastPrinted>
  <dcterms:created xsi:type="dcterms:W3CDTF">2026-01-29T01:47:00Z</dcterms:created>
  <dcterms:modified xsi:type="dcterms:W3CDTF">2026-02-16T15:34:00Z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0x0101003D535A9476A88D45ACAFA2E72610A0F4</vt:lpwstr>
  </property>
</Properties>
</file>